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Microsoft YaHei" w:hAnsi="Microsoft YaHei" w:eastAsia="Microsoft YaHei"/>
          <w:b/>
          <w:color w:val="0B2545"/>
          <w:sz w:val="48"/>
        </w:rPr>
        <w:t>EISCore 当前系统整体技术说明书</w:t>
      </w:r>
    </w:p>
    <w:p>
      <w:pPr>
        <w:jc w:val="center"/>
      </w:pPr>
      <w:r>
        <w:rPr>
          <w:rFonts w:ascii="Microsoft YaHei" w:hAnsi="Microsoft YaHei" w:eastAsia="Microsoft YaHei"/>
          <w:color w:val="2E74B5"/>
          <w:sz w:val="26"/>
        </w:rPr>
        <w:t>参考既有毕业论文结构的系统现状、架构、数据、模块、运行与演进说明</w:t>
      </w:r>
    </w:p>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c>
          <w:tcPr>
            <w:tcW w:type="dxa" w:w="2448"/>
            <w:shd w:fill="E8EEF5"/>
            <w:vAlign w:val="center"/>
          </w:tcPr>
          <w:p>
            <w:pPr>
              <w:jc w:val="center"/>
            </w:pPr>
            <w:r>
              <w:rPr>
                <w:rFonts w:ascii="Microsoft YaHei" w:hAnsi="Microsoft YaHei" w:eastAsia="Microsoft YaHei"/>
                <w:b/>
                <w:sz w:val="18"/>
              </w:rPr>
              <w:t>项目</w:t>
            </w:r>
          </w:p>
        </w:tc>
        <w:tc>
          <w:tcPr>
            <w:tcW w:type="dxa" w:w="6912"/>
            <w:shd w:fill="E8EEF5"/>
            <w:vAlign w:val="center"/>
          </w:tcPr>
          <w:p>
            <w:pPr>
              <w:jc w:val="center"/>
            </w:pPr>
            <w:r>
              <w:rPr>
                <w:rFonts w:ascii="Microsoft YaHei" w:hAnsi="Microsoft YaHei" w:eastAsia="Microsoft YaHei"/>
                <w:b/>
                <w:sz w:val="18"/>
              </w:rPr>
              <w:t>内容</w:t>
            </w:r>
          </w:p>
        </w:tc>
      </w:tr>
      <w:tr>
        <w:tc>
          <w:tcPr>
            <w:tcW w:type="dxa" w:w="2448"/>
            <w:vAlign w:val="center"/>
          </w:tcPr>
          <w:p>
            <w:pPr>
              <w:spacing w:after="40"/>
            </w:pPr>
            <w:r>
              <w:rPr>
                <w:rFonts w:ascii="Microsoft YaHei" w:hAnsi="Microsoft YaHei" w:eastAsia="Microsoft YaHei"/>
                <w:sz w:val="18"/>
              </w:rPr>
              <w:t>项目名称</w:t>
            </w:r>
          </w:p>
        </w:tc>
        <w:tc>
          <w:tcPr>
            <w:tcW w:type="dxa" w:w="6912"/>
            <w:vAlign w:val="center"/>
          </w:tcPr>
          <w:p>
            <w:pPr>
              <w:spacing w:after="40"/>
            </w:pPr>
            <w:r>
              <w:rPr>
                <w:rFonts w:ascii="Microsoft YaHei" w:hAnsi="Microsoft YaHei" w:eastAsia="Microsoft YaHei"/>
                <w:sz w:val="18"/>
              </w:rPr>
              <w:t>EISCore 企业信息化系统</w:t>
            </w:r>
          </w:p>
        </w:tc>
      </w:tr>
      <w:tr>
        <w:tc>
          <w:tcPr>
            <w:tcW w:type="dxa" w:w="2448"/>
            <w:vAlign w:val="center"/>
          </w:tcPr>
          <w:p>
            <w:pPr>
              <w:spacing w:after="40"/>
            </w:pPr>
            <w:r>
              <w:rPr>
                <w:rFonts w:ascii="Microsoft YaHei" w:hAnsi="Microsoft YaHei" w:eastAsia="Microsoft YaHei"/>
                <w:sz w:val="18"/>
              </w:rPr>
              <w:t>文档定位</w:t>
            </w:r>
          </w:p>
        </w:tc>
        <w:tc>
          <w:tcPr>
            <w:tcW w:type="dxa" w:w="6912"/>
            <w:vAlign w:val="center"/>
          </w:tcPr>
          <w:p>
            <w:pPr>
              <w:spacing w:after="40"/>
            </w:pPr>
            <w:r>
              <w:rPr>
                <w:rFonts w:ascii="Microsoft YaHei" w:hAnsi="Microsoft YaHei" w:eastAsia="Microsoft YaHei"/>
                <w:sz w:val="18"/>
              </w:rPr>
              <w:t>当前系统整体技术说明、架构评审材料、后续论文/软著/交付文档参考稿</w:t>
            </w:r>
          </w:p>
        </w:tc>
      </w:tr>
      <w:tr>
        <w:tc>
          <w:tcPr>
            <w:tcW w:type="dxa" w:w="2448"/>
            <w:vAlign w:val="center"/>
          </w:tcPr>
          <w:p>
            <w:pPr>
              <w:spacing w:after="40"/>
            </w:pPr>
            <w:r>
              <w:rPr>
                <w:rFonts w:ascii="Microsoft YaHei" w:hAnsi="Microsoft YaHei" w:eastAsia="Microsoft YaHei"/>
                <w:sz w:val="18"/>
              </w:rPr>
              <w:t>项目位置</w:t>
            </w:r>
          </w:p>
        </w:tc>
        <w:tc>
          <w:tcPr>
            <w:tcW w:type="dxa" w:w="6912"/>
            <w:vAlign w:val="center"/>
          </w:tcPr>
          <w:p>
            <w:pPr>
              <w:spacing w:after="40"/>
            </w:pPr>
            <w:r>
              <w:rPr>
                <w:rFonts w:ascii="Microsoft YaHei" w:hAnsi="Microsoft YaHei" w:eastAsia="Microsoft YaHei"/>
                <w:sz w:val="18"/>
              </w:rPr>
              <w:t>WSL: \\wsl.localhost\Ubuntu\home\lzr\eiscore；辅助脚本: C:\Users\Twist\Documents\eiscore</w:t>
            </w:r>
          </w:p>
        </w:tc>
      </w:tr>
      <w:tr>
        <w:tc>
          <w:tcPr>
            <w:tcW w:type="dxa" w:w="2448"/>
            <w:vAlign w:val="center"/>
          </w:tcPr>
          <w:p>
            <w:pPr>
              <w:spacing w:after="40"/>
            </w:pPr>
            <w:r>
              <w:rPr>
                <w:rFonts w:ascii="Microsoft YaHei" w:hAnsi="Microsoft YaHei" w:eastAsia="Microsoft YaHei"/>
                <w:sz w:val="18"/>
              </w:rPr>
              <w:t>参考依据</w:t>
            </w:r>
          </w:p>
        </w:tc>
        <w:tc>
          <w:tcPr>
            <w:tcW w:type="dxa" w:w="6912"/>
            <w:vAlign w:val="center"/>
          </w:tcPr>
          <w:p>
            <w:pPr>
              <w:spacing w:after="40"/>
            </w:pPr>
            <w:r>
              <w:rPr>
                <w:rFonts w:ascii="Microsoft YaHei" w:hAnsi="Microsoft YaHei" w:eastAsia="Microsoft YaHei"/>
                <w:sz w:val="18"/>
              </w:rPr>
              <w:t>项目源码、docker-compose.yml、package.json、SQL 脚本、功能手册、工程测试报告、既有毕业论文初稿和近期需求讨论</w:t>
            </w:r>
          </w:p>
        </w:tc>
      </w:tr>
      <w:tr>
        <w:tc>
          <w:tcPr>
            <w:tcW w:type="dxa" w:w="2448"/>
            <w:vAlign w:val="center"/>
          </w:tcPr>
          <w:p>
            <w:pPr>
              <w:spacing w:after="40"/>
            </w:pPr>
            <w:r>
              <w:rPr>
                <w:rFonts w:ascii="Microsoft YaHei" w:hAnsi="Microsoft YaHei" w:eastAsia="Microsoft YaHei"/>
                <w:sz w:val="18"/>
              </w:rPr>
              <w:t>生成日期</w:t>
            </w:r>
          </w:p>
        </w:tc>
        <w:tc>
          <w:tcPr>
            <w:tcW w:type="dxa" w:w="6912"/>
            <w:vAlign w:val="center"/>
          </w:tcPr>
          <w:p>
            <w:pPr>
              <w:spacing w:after="40"/>
            </w:pPr>
            <w:r>
              <w:rPr>
                <w:rFonts w:ascii="Microsoft YaHei" w:hAnsi="Microsoft YaHei" w:eastAsia="Microsoft YaHei"/>
                <w:sz w:val="18"/>
              </w:rPr>
              <w:t>2026-06-19</w:t>
            </w:r>
          </w:p>
        </w:tc>
      </w:tr>
      <w:tr>
        <w:tc>
          <w:tcPr>
            <w:tcW w:type="dxa" w:w="2448"/>
            <w:vAlign w:val="center"/>
          </w:tcPr>
          <w:p>
            <w:pPr>
              <w:spacing w:after="40"/>
            </w:pPr>
            <w:r>
              <w:rPr>
                <w:rFonts w:ascii="Microsoft YaHei" w:hAnsi="Microsoft YaHei" w:eastAsia="Microsoft YaHei"/>
                <w:sz w:val="18"/>
              </w:rPr>
              <w:t>阶段边界</w:t>
            </w:r>
          </w:p>
        </w:tc>
        <w:tc>
          <w:tcPr>
            <w:tcW w:type="dxa" w:w="6912"/>
            <w:vAlign w:val="center"/>
          </w:tcPr>
          <w:p>
            <w:pPr>
              <w:spacing w:after="40"/>
            </w:pPr>
            <w:r>
              <w:rPr>
                <w:rFonts w:ascii="Microsoft YaHei" w:hAnsi="Microsoft YaHei" w:eastAsia="Microsoft YaHei"/>
                <w:sz w:val="18"/>
              </w:rPr>
              <w:t>当前文档描述 EISCore 本体系统现状；AI 资料自动入单为第一阶段增强能力；Agent 实施贯标运维系统为第二阶段独立系统方向</w:t>
            </w:r>
          </w:p>
        </w:tc>
      </w:tr>
    </w:tbl>
    <w:p/>
    <w:tbl>
      <w:tblPr>
        <w:tblW w:type="auto" w:w="0"/>
        <w:jc w:val="center"/>
        <w:tblLook w:firstColumn="1" w:firstRow="1" w:lastColumn="0" w:lastRow="0" w:noHBand="0" w:noVBand="1" w:val="04A0"/>
        <w:tblBorders>
          <w:top w:val="single" w:sz="8" w:space="0" w:color="B7C7D8"/>
          <w:left w:val="single" w:sz="8" w:space="0" w:color="B7C7D8"/>
          <w:bottom w:val="single" w:sz="8" w:space="0" w:color="B7C7D8"/>
          <w:right w:val="single" w:sz="8" w:space="0" w:color="B7C7D8"/>
          <w:insideH w:val="single" w:sz="8" w:space="0" w:color="B7C7D8"/>
          <w:insideV w:val="single" w:sz="8" w:space="0" w:color="B7C7D8"/>
        </w:tblBorders>
      </w:tblPr>
      <w:tblGrid>
        <w:gridCol w:w="9360"/>
      </w:tblGrid>
      <w:tr>
        <w:tc>
          <w:tcPr>
            <w:tcW w:type="dxa" w:w="9360"/>
            <w:shd w:fill="F4F6F9"/>
          </w:tcPr>
          <w:p>
            <w:pPr>
              <w:spacing w:after="40"/>
            </w:pPr>
            <w:r>
              <w:rPr>
                <w:rFonts w:ascii="Microsoft YaHei" w:hAnsi="Microsoft YaHei" w:eastAsia="Microsoft YaHei"/>
                <w:b/>
                <w:color w:val="1F4D78"/>
                <w:sz w:val="20"/>
              </w:rPr>
              <w:t>阅读说明：</w:t>
            </w:r>
            <w:r>
              <w:rPr>
                <w:rFonts w:ascii="Microsoft YaHei" w:hAnsi="Microsoft YaHei" w:eastAsia="Microsoft YaHei"/>
                <w:sz w:val="20"/>
              </w:rPr>
              <w:t>本文档不是单纯的功能清单，而是从架构师视角对 EISCore 当前系统进行整体画像：先解释系统定位和论文结构继承，再说明运行架构、微前端、数据库、业务模块、应用中心、工作流、本体语义、Agent Runtime、采集端、测试体系、当前风险和后续演进。文档中的结论以当前本地项目为基础，适用于需求讨论、研发拆分、项目评审和后续正式文档整理。</w:t>
            </w:r>
          </w:p>
        </w:tc>
      </w:tr>
    </w:tbl>
    <w:p/>
    <w:p>
      <w:r>
        <w:br w:type="page"/>
      </w:r>
    </w:p>
    <w:p>
      <w:pPr>
        <w:pStyle w:val="Heading1"/>
      </w:pPr>
      <w:r>
        <w:rPr>
          <w:rFonts w:ascii="Microsoft YaHei" w:hAnsi="Microsoft YaHei" w:eastAsia="Microsoft YaHei"/>
          <w:b/>
          <w:color w:val="2E74B5"/>
          <w:sz w:val="32"/>
        </w:rPr>
        <w:t>目录</w:t>
      </w:r>
    </w:p>
    <w:p>
      <w:pPr>
        <w:pStyle w:val="ListNumber"/>
      </w:pPr>
      <w:r>
        <w:rPr>
          <w:rFonts w:ascii="Microsoft YaHei" w:hAnsi="Microsoft YaHei" w:eastAsia="Microsoft YaHei"/>
          <w:sz w:val="20"/>
        </w:rPr>
        <w:t>1 文档背景、范围与总体判断</w:t>
      </w:r>
    </w:p>
    <w:p>
      <w:pPr>
        <w:pStyle w:val="ListNumber"/>
      </w:pPr>
      <w:r>
        <w:rPr>
          <w:rFonts w:ascii="Microsoft YaHei" w:hAnsi="Microsoft YaHei" w:eastAsia="Microsoft YaHei"/>
          <w:sz w:val="20"/>
        </w:rPr>
        <w:t>2 项目定位与论文结构继承</w:t>
      </w:r>
    </w:p>
    <w:p>
      <w:pPr>
        <w:pStyle w:val="ListNumber"/>
      </w:pPr>
      <w:r>
        <w:rPr>
          <w:rFonts w:ascii="Microsoft YaHei" w:hAnsi="Microsoft YaHei" w:eastAsia="Microsoft YaHei"/>
          <w:sz w:val="20"/>
        </w:rPr>
        <w:t>3 当前系统总体概览</w:t>
      </w:r>
    </w:p>
    <w:p>
      <w:pPr>
        <w:pStyle w:val="ListNumber"/>
      </w:pPr>
      <w:r>
        <w:rPr>
          <w:rFonts w:ascii="Microsoft YaHei" w:hAnsi="Microsoft YaHei" w:eastAsia="Microsoft YaHei"/>
          <w:sz w:val="20"/>
        </w:rPr>
        <w:t>4 技术栈与运行环境</w:t>
      </w:r>
    </w:p>
    <w:p>
      <w:pPr>
        <w:pStyle w:val="ListNumber"/>
      </w:pPr>
      <w:r>
        <w:rPr>
          <w:rFonts w:ascii="Microsoft YaHei" w:hAnsi="Microsoft YaHei" w:eastAsia="Microsoft YaHei"/>
          <w:sz w:val="20"/>
        </w:rPr>
        <w:t>5 前端微前端与用户体验层</w:t>
      </w:r>
    </w:p>
    <w:p>
      <w:pPr>
        <w:pStyle w:val="ListNumber"/>
      </w:pPr>
      <w:r>
        <w:rPr>
          <w:rFonts w:ascii="Microsoft YaHei" w:hAnsi="Microsoft YaHei" w:eastAsia="Microsoft YaHei"/>
          <w:sz w:val="20"/>
        </w:rPr>
        <w:t>6 后端、数据库与 API 架构</w:t>
      </w:r>
    </w:p>
    <w:p>
      <w:pPr>
        <w:pStyle w:val="ListNumber"/>
      </w:pPr>
      <w:r>
        <w:rPr>
          <w:rFonts w:ascii="Microsoft YaHei" w:hAnsi="Microsoft YaHei" w:eastAsia="Microsoft YaHei"/>
          <w:sz w:val="20"/>
        </w:rPr>
        <w:t>7 应用中心、动态应用与工作流平台</w:t>
      </w:r>
    </w:p>
    <w:p>
      <w:pPr>
        <w:pStyle w:val="ListNumber"/>
      </w:pPr>
      <w:r>
        <w:rPr>
          <w:rFonts w:ascii="Microsoft YaHei" w:hAnsi="Microsoft YaHei" w:eastAsia="Microsoft YaHei"/>
          <w:sz w:val="20"/>
        </w:rPr>
        <w:t>8 轻量本体、语义治理与知识库升级基础</w:t>
      </w:r>
    </w:p>
    <w:p>
      <w:pPr>
        <w:pStyle w:val="ListNumber"/>
      </w:pPr>
      <w:r>
        <w:rPr>
          <w:rFonts w:ascii="Microsoft YaHei" w:hAnsi="Microsoft YaHei" w:eastAsia="Microsoft YaHei"/>
          <w:sz w:val="20"/>
        </w:rPr>
        <w:t>9 Agent Runtime 与智能辅助能力</w:t>
      </w:r>
    </w:p>
    <w:p>
      <w:pPr>
        <w:pStyle w:val="ListNumber"/>
      </w:pPr>
      <w:r>
        <w:rPr>
          <w:rFonts w:ascii="Microsoft YaHei" w:hAnsi="Microsoft YaHei" w:eastAsia="Microsoft YaHei"/>
          <w:sz w:val="20"/>
        </w:rPr>
        <w:t>10 固定业务模块现状</w:t>
      </w:r>
    </w:p>
    <w:p>
      <w:pPr>
        <w:pStyle w:val="ListNumber"/>
      </w:pPr>
      <w:r>
        <w:rPr>
          <w:rFonts w:ascii="Microsoft YaHei" w:hAnsi="Microsoft YaHei" w:eastAsia="Microsoft YaHei"/>
          <w:sz w:val="20"/>
        </w:rPr>
        <w:t>11 移动端与现场作业能力</w:t>
      </w:r>
    </w:p>
    <w:p>
      <w:pPr>
        <w:pStyle w:val="ListNumber"/>
      </w:pPr>
      <w:r>
        <w:rPr>
          <w:rFonts w:ascii="Microsoft YaHei" w:hAnsi="Microsoft YaHei" w:eastAsia="Microsoft YaHei"/>
          <w:sz w:val="20"/>
        </w:rPr>
        <w:t>12 智能收单与 AI 自动入单能力</w:t>
      </w:r>
    </w:p>
    <w:p>
      <w:pPr>
        <w:pStyle w:val="ListNumber"/>
      </w:pPr>
      <w:r>
        <w:rPr>
          <w:rFonts w:ascii="Microsoft YaHei" w:hAnsi="Microsoft YaHei" w:eastAsia="Microsoft YaHei"/>
          <w:sz w:val="20"/>
        </w:rPr>
        <w:t>13 Windows 采集端与客户端日志能力</w:t>
      </w:r>
    </w:p>
    <w:p>
      <w:pPr>
        <w:pStyle w:val="ListNumber"/>
      </w:pPr>
      <w:r>
        <w:rPr>
          <w:rFonts w:ascii="Microsoft YaHei" w:hAnsi="Microsoft YaHei" w:eastAsia="Microsoft YaHei"/>
          <w:sz w:val="20"/>
        </w:rPr>
        <w:t>14 权限、安全、审计与数据治理</w:t>
      </w:r>
    </w:p>
    <w:p>
      <w:pPr>
        <w:pStyle w:val="ListNumber"/>
      </w:pPr>
      <w:r>
        <w:rPr>
          <w:rFonts w:ascii="Microsoft YaHei" w:hAnsi="Microsoft YaHei" w:eastAsia="Microsoft YaHei"/>
          <w:sz w:val="20"/>
        </w:rPr>
        <w:t>15 部署、启动、运维与小规模架构评估</w:t>
      </w:r>
    </w:p>
    <w:p>
      <w:pPr>
        <w:pStyle w:val="ListNumber"/>
      </w:pPr>
      <w:r>
        <w:rPr>
          <w:rFonts w:ascii="Microsoft YaHei" w:hAnsi="Microsoft YaHei" w:eastAsia="Microsoft YaHei"/>
          <w:sz w:val="20"/>
        </w:rPr>
        <w:t>16 测试体系、工程质量与验收基础</w:t>
      </w:r>
    </w:p>
    <w:p>
      <w:pPr>
        <w:pStyle w:val="ListNumber"/>
      </w:pPr>
      <w:r>
        <w:rPr>
          <w:rFonts w:ascii="Microsoft YaHei" w:hAnsi="Microsoft YaHei" w:eastAsia="Microsoft YaHei"/>
          <w:sz w:val="20"/>
        </w:rPr>
        <w:t>17 当前问题、乱码原因与治理建议</w:t>
      </w:r>
    </w:p>
    <w:p>
      <w:pPr>
        <w:pStyle w:val="ListNumber"/>
      </w:pPr>
      <w:r>
        <w:rPr>
          <w:rFonts w:ascii="Microsoft YaHei" w:hAnsi="Microsoft YaHei" w:eastAsia="Microsoft YaHei"/>
          <w:sz w:val="20"/>
        </w:rPr>
        <w:t>18 阶段划分、路线图与第二阶段 Agent 交付系统边界</w:t>
      </w:r>
    </w:p>
    <w:p>
      <w:pPr>
        <w:pStyle w:val="ListNumber"/>
      </w:pPr>
      <w:r>
        <w:rPr>
          <w:rFonts w:ascii="Microsoft YaHei" w:hAnsi="Microsoft YaHei" w:eastAsia="Microsoft YaHei"/>
          <w:sz w:val="20"/>
        </w:rPr>
        <w:t>19 扩展分析：业务闭环、现场场景与交付方法</w:t>
      </w:r>
    </w:p>
    <w:p>
      <w:pPr>
        <w:pStyle w:val="ListNumber"/>
      </w:pPr>
      <w:r>
        <w:rPr>
          <w:rFonts w:ascii="Microsoft YaHei" w:hAnsi="Microsoft YaHei" w:eastAsia="Microsoft YaHei"/>
          <w:sz w:val="20"/>
        </w:rPr>
        <w:t>附录 A 关键服务、模块、表、脚本与测试清单</w:t>
      </w:r>
    </w:p>
    <w:p>
      <w:r>
        <w:br w:type="page"/>
      </w:r>
    </w:p>
    <w:p>
      <w:pPr>
        <w:pStyle w:val="Heading1"/>
      </w:pPr>
      <w:r>
        <w:rPr>
          <w:rFonts w:ascii="Microsoft YaHei" w:hAnsi="Microsoft YaHei" w:eastAsia="Microsoft YaHei"/>
          <w:b/>
          <w:color w:val="2E74B5"/>
          <w:sz w:val="32"/>
        </w:rPr>
        <w:t>1 文档背景、范围与总体判断</w:t>
      </w:r>
    </w:p>
    <w:p>
      <w:pPr>
        <w:spacing w:after="120" w:line="276" w:lineRule="auto"/>
        <w:ind w:firstLine="403"/>
      </w:pPr>
      <w:r>
        <w:rPr>
          <w:rFonts w:ascii="Microsoft YaHei" w:hAnsi="Microsoft YaHei" w:eastAsia="Microsoft YaHei"/>
          <w:sz w:val="21"/>
        </w:rPr>
        <w:t>EISCore 当前已经不是单一页面或单一业务模块，而是围绕中小型制造企业信息化场景逐步形成的综合业务平台。系统同时承担基础门户、业务模块、动态应用、工作流、本体语义、Agent 辅助、移动现场作业、智能资料采集和工程测试支撑等职责。对架构进行说明时，不能只从前端页面数量或数据库表数量出发，更需要解释它为什么采用数据库中心化、微前端拆分、PostgREST 接口映射、SQL 补丁演进、Agent Runtime 扩展和采集端外置的组合方式。</w:t>
      </w:r>
    </w:p>
    <w:p>
      <w:pPr>
        <w:spacing w:after="120" w:line="276" w:lineRule="auto"/>
        <w:ind w:firstLine="403"/>
      </w:pPr>
      <w:r>
        <w:rPr>
          <w:rFonts w:ascii="Microsoft YaHei" w:hAnsi="Microsoft YaHei" w:eastAsia="Microsoft YaHei"/>
          <w:sz w:val="21"/>
        </w:rPr>
        <w:t>本次文档的目标，是把当前系统整体情况整理成一份可以继续扩写、评审、归档和对外转化的技术说明书。文档参考既有毕业论文的写法，但不会机械复刻论文。论文强调研究背景、相关技术、需求分析、概要设计、数据库设计、详细设计、实现与测试；本文档则把这些章节重新映射到当前真实代码和运行状态：哪些模块已经有目录和构建脚本，哪些能力以 SQL patch 形式存在，哪些能力由 realtime 服务承载，哪些能力仍处在下一阶段需求规划中。</w:t>
      </w:r>
    </w:p>
    <w:p>
      <w:pPr>
        <w:spacing w:after="120" w:line="276" w:lineRule="auto"/>
        <w:ind w:firstLine="403"/>
      </w:pPr>
      <w:r>
        <w:rPr>
          <w:rFonts w:ascii="Microsoft YaHei" w:hAnsi="Microsoft YaHei" w:eastAsia="Microsoft YaHei"/>
          <w:sz w:val="21"/>
        </w:rPr>
        <w:t>从系统定位看，EISCore 的核心价值在于把制造企业日常分散在销售、采购、仓储、生产、质量、设备、人事和管理决策中的数据统一纳入一套可配置、可追踪、可统计、可审批的业务平台。传统 ERP 往往先固定表单和流程，再要求企业适配系统；EISCore 当前更强调动态业务表、字段语义、应用中心、工作流映射和 Agent 辅助，使系统可以在不完全重写代码的情况下逐步适配企业现场变化。</w:t>
      </w:r>
    </w:p>
    <w:p>
      <w:pPr>
        <w:spacing w:after="120" w:line="276" w:lineRule="auto"/>
        <w:ind w:firstLine="403"/>
      </w:pPr>
      <w:r>
        <w:rPr>
          <w:rFonts w:ascii="Microsoft YaHei" w:hAnsi="Microsoft YaHei" w:eastAsia="Microsoft YaHei"/>
          <w:sz w:val="21"/>
        </w:rPr>
        <w:t>从当前代码结构看，系统采用多前端工程并行、数据库 Schema 分区、PostgREST 自动暴露 API、Node.js realtime 服务补充实时和智能能力、Docker Compose 组合部署的方式。这种架构对一百人以内的用户规模是合理的：业务负载不大时，单 PostgreSQL 实例和 PostgREST 能降低后端维护成本；多个前端模块能按业务边界拆分；Agent Runtime 可以把高变化、高实验性的能力放到独立服务中，避免污染基础业务接口。</w:t>
      </w:r>
    </w:p>
    <w:p>
      <w:pPr>
        <w:spacing w:after="120" w:line="276" w:lineRule="auto"/>
        <w:ind w:firstLine="403"/>
      </w:pPr>
      <w:r>
        <w:rPr>
          <w:rFonts w:ascii="Microsoft YaHei" w:hAnsi="Microsoft YaHei" w:eastAsia="Microsoft YaHei"/>
          <w:sz w:val="21"/>
        </w:rPr>
        <w:t>需要客观看到的是，当前系统也存在典型成长型系统的复杂度：前端模块较多、端口较多、SQL patch 较多、Agent Runtime 承担职责较宽、开发环境依赖 WSL 和 Docker 的配合，局部还出现过中文乱码和端口占用问题。这些问题不是架构方向错误，而是系统从论文原型、业务平台、智能能力验证向可交付产品演进时必须治理的工程问题。本文档会把这些问题作为风险和改进项明示，而不是只写正面描述。</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2088"/>
            <w:shd w:fill="E8EEF5"/>
            <w:vAlign w:val="center"/>
          </w:tcPr>
          <w:p>
            <w:pPr>
              <w:jc w:val="center"/>
            </w:pPr>
            <w:r>
              <w:rPr>
                <w:rFonts w:ascii="Microsoft YaHei" w:hAnsi="Microsoft YaHei" w:eastAsia="Microsoft YaHei"/>
                <w:b/>
                <w:sz w:val="18"/>
              </w:rPr>
              <w:t>资料类型</w:t>
            </w:r>
          </w:p>
        </w:tc>
        <w:tc>
          <w:tcPr>
            <w:tcW w:type="dxa" w:w="3671"/>
            <w:shd w:fill="E8EEF5"/>
            <w:vAlign w:val="center"/>
          </w:tcPr>
          <w:p>
            <w:pPr>
              <w:jc w:val="center"/>
            </w:pPr>
            <w:r>
              <w:rPr>
                <w:rFonts w:ascii="Microsoft YaHei" w:hAnsi="Microsoft YaHei" w:eastAsia="Microsoft YaHei"/>
                <w:b/>
                <w:sz w:val="18"/>
              </w:rPr>
              <w:t>文件或目录</w:t>
            </w:r>
          </w:p>
        </w:tc>
        <w:tc>
          <w:tcPr>
            <w:tcW w:type="dxa" w:w="3744"/>
            <w:shd w:fill="E8EEF5"/>
            <w:vAlign w:val="center"/>
          </w:tcPr>
          <w:p>
            <w:pPr>
              <w:jc w:val="center"/>
            </w:pPr>
            <w:r>
              <w:rPr>
                <w:rFonts w:ascii="Microsoft YaHei" w:hAnsi="Microsoft YaHei" w:eastAsia="Microsoft YaHei"/>
                <w:b/>
                <w:sz w:val="18"/>
              </w:rPr>
              <w:t>用于判断的内容</w:t>
            </w:r>
          </w:p>
        </w:tc>
      </w:tr>
      <w:tr>
        <w:tc>
          <w:tcPr>
            <w:tcW w:type="dxa" w:w="2088"/>
            <w:vAlign w:val="center"/>
          </w:tcPr>
          <w:p>
            <w:pPr>
              <w:spacing w:after="40"/>
            </w:pPr>
            <w:r>
              <w:rPr>
                <w:rFonts w:ascii="Microsoft YaHei" w:hAnsi="Microsoft YaHei" w:eastAsia="Microsoft YaHei"/>
                <w:sz w:val="18"/>
              </w:rPr>
              <w:t>运行编排</w:t>
            </w:r>
          </w:p>
        </w:tc>
        <w:tc>
          <w:tcPr>
            <w:tcW w:type="dxa" w:w="3671"/>
            <w:vAlign w:val="center"/>
          </w:tcPr>
          <w:p>
            <w:pPr>
              <w:spacing w:after="40"/>
            </w:pPr>
            <w:r>
              <w:rPr>
                <w:rFonts w:ascii="Microsoft YaHei" w:hAnsi="Microsoft YaHei" w:eastAsia="Microsoft YaHei"/>
                <w:sz w:val="18"/>
              </w:rPr>
              <w:t>docker-compose.yml / docker-compose.prod.yml</w:t>
            </w:r>
          </w:p>
        </w:tc>
        <w:tc>
          <w:tcPr>
            <w:tcW w:type="dxa" w:w="3744"/>
            <w:vAlign w:val="center"/>
          </w:tcPr>
          <w:p>
            <w:pPr>
              <w:spacing w:after="40"/>
            </w:pPr>
            <w:r>
              <w:rPr>
                <w:rFonts w:ascii="Microsoft YaHei" w:hAnsi="Microsoft YaHei" w:eastAsia="Microsoft YaHei"/>
                <w:sz w:val="18"/>
              </w:rPr>
              <w:t>PostgreSQL、PostgREST、Swagger、Nginx、Agent Runtime、code-server、卷挂载和端口</w:t>
            </w:r>
          </w:p>
        </w:tc>
      </w:tr>
      <w:tr>
        <w:tc>
          <w:tcPr>
            <w:tcW w:type="dxa" w:w="2088"/>
            <w:vAlign w:val="center"/>
          </w:tcPr>
          <w:p>
            <w:pPr>
              <w:spacing w:after="40"/>
            </w:pPr>
            <w:r>
              <w:rPr>
                <w:rFonts w:ascii="Microsoft YaHei" w:hAnsi="Microsoft YaHei" w:eastAsia="Microsoft YaHei"/>
                <w:sz w:val="18"/>
              </w:rPr>
              <w:t>工程入口</w:t>
            </w:r>
          </w:p>
        </w:tc>
        <w:tc>
          <w:tcPr>
            <w:tcW w:type="dxa" w:w="3671"/>
            <w:vAlign w:val="center"/>
          </w:tcPr>
          <w:p>
            <w:pPr>
              <w:spacing w:after="40"/>
            </w:pPr>
            <w:r>
              <w:rPr>
                <w:rFonts w:ascii="Microsoft YaHei" w:hAnsi="Microsoft YaHei" w:eastAsia="Microsoft YaHei"/>
                <w:sz w:val="18"/>
              </w:rPr>
              <w:t>package.json / 各 eiscore-* package.json</w:t>
            </w:r>
          </w:p>
        </w:tc>
        <w:tc>
          <w:tcPr>
            <w:tcW w:type="dxa" w:w="3744"/>
            <w:vAlign w:val="center"/>
          </w:tcPr>
          <w:p>
            <w:pPr>
              <w:spacing w:after="40"/>
            </w:pPr>
            <w:r>
              <w:rPr>
                <w:rFonts w:ascii="Microsoft YaHei" w:hAnsi="Microsoft YaHei" w:eastAsia="Microsoft YaHei"/>
                <w:sz w:val="18"/>
              </w:rPr>
              <w:t>前端构建、单元回归、E2E、工程门禁、Node 版本约束和模块技术栈</w:t>
            </w:r>
          </w:p>
        </w:tc>
      </w:tr>
      <w:tr>
        <w:tc>
          <w:tcPr>
            <w:tcW w:type="dxa" w:w="2088"/>
            <w:vAlign w:val="center"/>
          </w:tcPr>
          <w:p>
            <w:pPr>
              <w:spacing w:after="40"/>
            </w:pPr>
            <w:r>
              <w:rPr>
                <w:rFonts w:ascii="Microsoft YaHei" w:hAnsi="Microsoft YaHei" w:eastAsia="Microsoft YaHei"/>
                <w:sz w:val="18"/>
              </w:rPr>
              <w:t>业务说明</w:t>
            </w:r>
          </w:p>
        </w:tc>
        <w:tc>
          <w:tcPr>
            <w:tcW w:type="dxa" w:w="3671"/>
            <w:vAlign w:val="center"/>
          </w:tcPr>
          <w:p>
            <w:pPr>
              <w:spacing w:after="40"/>
            </w:pPr>
            <w:r>
              <w:rPr>
                <w:rFonts w:ascii="Microsoft YaHei" w:hAnsi="Microsoft YaHei" w:eastAsia="Microsoft YaHei"/>
                <w:sz w:val="18"/>
              </w:rPr>
              <w:t>docs/EISCORE_FUNCTION_MANUAL.md</w:t>
            </w:r>
          </w:p>
        </w:tc>
        <w:tc>
          <w:tcPr>
            <w:tcW w:type="dxa" w:w="3744"/>
            <w:vAlign w:val="center"/>
          </w:tcPr>
          <w:p>
            <w:pPr>
              <w:spacing w:after="40"/>
            </w:pPr>
            <w:r>
              <w:rPr>
                <w:rFonts w:ascii="Microsoft YaHei" w:hAnsi="Microsoft YaHei" w:eastAsia="Microsoft YaHei"/>
                <w:sz w:val="18"/>
              </w:rPr>
              <w:t>基座、模块、移动端、AI Runtime、数据库与运维功能说明</w:t>
            </w:r>
          </w:p>
        </w:tc>
      </w:tr>
      <w:tr>
        <w:tc>
          <w:tcPr>
            <w:tcW w:type="dxa" w:w="2088"/>
            <w:vAlign w:val="center"/>
          </w:tcPr>
          <w:p>
            <w:pPr>
              <w:spacing w:after="40"/>
            </w:pPr>
            <w:r>
              <w:rPr>
                <w:rFonts w:ascii="Microsoft YaHei" w:hAnsi="Microsoft YaHei" w:eastAsia="Microsoft YaHei"/>
                <w:sz w:val="18"/>
              </w:rPr>
              <w:t>论文材料</w:t>
            </w:r>
          </w:p>
        </w:tc>
        <w:tc>
          <w:tcPr>
            <w:tcW w:type="dxa" w:w="3671"/>
            <w:vAlign w:val="center"/>
          </w:tcPr>
          <w:p>
            <w:pPr>
              <w:spacing w:after="40"/>
            </w:pPr>
            <w:r>
              <w:rPr>
                <w:rFonts w:ascii="Microsoft YaHei" w:hAnsi="Microsoft YaHei" w:eastAsia="Microsoft YaHei"/>
                <w:sz w:val="18"/>
              </w:rPr>
              <w:t>docs/毕业论文初稿v2.8_老师批注终修版_2026-04-04.md 等</w:t>
            </w:r>
          </w:p>
        </w:tc>
        <w:tc>
          <w:tcPr>
            <w:tcW w:type="dxa" w:w="3744"/>
            <w:vAlign w:val="center"/>
          </w:tcPr>
          <w:p>
            <w:pPr>
              <w:spacing w:after="40"/>
            </w:pPr>
            <w:r>
              <w:rPr>
                <w:rFonts w:ascii="Microsoft YaHei" w:hAnsi="Microsoft YaHei" w:eastAsia="Microsoft YaHei"/>
                <w:sz w:val="18"/>
              </w:rPr>
              <w:t>绪论、技术介绍、需求分析、概要设计、数据库设计、详细设计、测试和总结的结构</w:t>
            </w:r>
          </w:p>
        </w:tc>
      </w:tr>
      <w:tr>
        <w:tc>
          <w:tcPr>
            <w:tcW w:type="dxa" w:w="2088"/>
            <w:vAlign w:val="center"/>
          </w:tcPr>
          <w:p>
            <w:pPr>
              <w:spacing w:after="40"/>
            </w:pPr>
            <w:r>
              <w:rPr>
                <w:rFonts w:ascii="Microsoft YaHei" w:hAnsi="Microsoft YaHei" w:eastAsia="Microsoft YaHei"/>
                <w:sz w:val="18"/>
              </w:rPr>
              <w:t>SQL 脚本</w:t>
            </w:r>
          </w:p>
        </w:tc>
        <w:tc>
          <w:tcPr>
            <w:tcW w:type="dxa" w:w="3671"/>
            <w:vAlign w:val="center"/>
          </w:tcPr>
          <w:p>
            <w:pPr>
              <w:spacing w:after="40"/>
            </w:pPr>
            <w:r>
              <w:rPr>
                <w:rFonts w:ascii="Microsoft YaHei" w:hAnsi="Microsoft YaHei" w:eastAsia="Microsoft YaHei"/>
                <w:sz w:val="18"/>
              </w:rPr>
              <w:t>sql/*.sql</w:t>
            </w:r>
          </w:p>
        </w:tc>
        <w:tc>
          <w:tcPr>
            <w:tcW w:type="dxa" w:w="3744"/>
            <w:vAlign w:val="center"/>
          </w:tcPr>
          <w:p>
            <w:pPr>
              <w:spacing w:after="40"/>
            </w:pPr>
            <w:r>
              <w:rPr>
                <w:rFonts w:ascii="Microsoft YaHei" w:hAnsi="Microsoft YaHei" w:eastAsia="Microsoft YaHei"/>
                <w:sz w:val="18"/>
              </w:rPr>
              <w:t>app_center、workflow、scm、业务模块、语义本体、文档采集、RLS 和运行时补丁</w:t>
            </w:r>
          </w:p>
        </w:tc>
      </w:tr>
      <w:tr>
        <w:tc>
          <w:tcPr>
            <w:tcW w:type="dxa" w:w="2088"/>
            <w:vAlign w:val="center"/>
          </w:tcPr>
          <w:p>
            <w:pPr>
              <w:spacing w:after="40"/>
            </w:pPr>
            <w:r>
              <w:rPr>
                <w:rFonts w:ascii="Microsoft YaHei" w:hAnsi="Microsoft YaHei" w:eastAsia="Microsoft YaHei"/>
                <w:sz w:val="18"/>
              </w:rPr>
              <w:t>实时服务</w:t>
            </w:r>
          </w:p>
        </w:tc>
        <w:tc>
          <w:tcPr>
            <w:tcW w:type="dxa" w:w="3671"/>
            <w:vAlign w:val="center"/>
          </w:tcPr>
          <w:p>
            <w:pPr>
              <w:spacing w:after="40"/>
            </w:pPr>
            <w:r>
              <w:rPr>
                <w:rFonts w:ascii="Microsoft YaHei" w:hAnsi="Microsoft YaHei" w:eastAsia="Microsoft YaHei"/>
                <w:sz w:val="18"/>
              </w:rPr>
              <w:t>realtime/*.js</w:t>
            </w:r>
          </w:p>
        </w:tc>
        <w:tc>
          <w:tcPr>
            <w:tcW w:type="dxa" w:w="3744"/>
            <w:vAlign w:val="center"/>
          </w:tcPr>
          <w:p>
            <w:pPr>
              <w:spacing w:after="40"/>
            </w:pPr>
            <w:r>
              <w:rPr>
                <w:rFonts w:ascii="Microsoft YaHei" w:hAnsi="Microsoft YaHei" w:eastAsia="Microsoft YaHei"/>
                <w:sz w:val="18"/>
              </w:rPr>
              <w:t>Agent、Flash 工具、Workflow Engine、文档采集 handler、解析/计划/入库 worker、健康检查</w:t>
            </w:r>
          </w:p>
        </w:tc>
      </w:tr>
      <w:tr>
        <w:tc>
          <w:tcPr>
            <w:tcW w:type="dxa" w:w="2088"/>
            <w:vAlign w:val="center"/>
          </w:tcPr>
          <w:p>
            <w:pPr>
              <w:spacing w:after="40"/>
            </w:pPr>
            <w:r>
              <w:rPr>
                <w:rFonts w:ascii="Microsoft YaHei" w:hAnsi="Microsoft YaHei" w:eastAsia="Microsoft YaHei"/>
                <w:sz w:val="18"/>
              </w:rPr>
              <w:t>采集端</w:t>
            </w:r>
          </w:p>
        </w:tc>
        <w:tc>
          <w:tcPr>
            <w:tcW w:type="dxa" w:w="3671"/>
            <w:vAlign w:val="center"/>
          </w:tcPr>
          <w:p>
            <w:pPr>
              <w:spacing w:after="40"/>
            </w:pPr>
            <w:r>
              <w:rPr>
                <w:rFonts w:ascii="Microsoft YaHei" w:hAnsi="Microsoft YaHei" w:eastAsia="Microsoft YaHei"/>
                <w:sz w:val="18"/>
              </w:rPr>
              <w:t>collector-desktop/README.md 与 .NET WPF 项目</w:t>
            </w:r>
          </w:p>
        </w:tc>
        <w:tc>
          <w:tcPr>
            <w:tcW w:type="dxa" w:w="3744"/>
            <w:vAlign w:val="center"/>
          </w:tcPr>
          <w:p>
            <w:pPr>
              <w:spacing w:after="40"/>
            </w:pPr>
            <w:r>
              <w:rPr>
                <w:rFonts w:ascii="Microsoft YaHei" w:hAnsi="Microsoft YaHei" w:eastAsia="Microsoft YaHei"/>
                <w:sz w:val="18"/>
              </w:rPr>
              <w:t>WebView2、拖拽上传、目录监听、SQLite 队列、DPAPI、日志、心跳、自动更新</w:t>
            </w:r>
          </w:p>
        </w:tc>
      </w:tr>
      <w:tr>
        <w:tc>
          <w:tcPr>
            <w:tcW w:type="dxa" w:w="2088"/>
            <w:vAlign w:val="center"/>
          </w:tcPr>
          <w:p>
            <w:pPr>
              <w:spacing w:after="40"/>
            </w:pPr>
            <w:r>
              <w:rPr>
                <w:rFonts w:ascii="Microsoft YaHei" w:hAnsi="Microsoft YaHei" w:eastAsia="Microsoft YaHei"/>
                <w:sz w:val="18"/>
              </w:rPr>
              <w:t>工程测试</w:t>
            </w:r>
          </w:p>
        </w:tc>
        <w:tc>
          <w:tcPr>
            <w:tcW w:type="dxa" w:w="3671"/>
            <w:vAlign w:val="center"/>
          </w:tcPr>
          <w:p>
            <w:pPr>
              <w:spacing w:after="40"/>
            </w:pPr>
            <w:r>
              <w:rPr>
                <w:rFonts w:ascii="Microsoft YaHei" w:hAnsi="Microsoft YaHei" w:eastAsia="Microsoft YaHei"/>
                <w:sz w:val="18"/>
              </w:rPr>
              <w:t>docs/TEST_ENGINEERING_REPORT_2026-06-16.md / tests/*</w:t>
            </w:r>
          </w:p>
        </w:tc>
        <w:tc>
          <w:tcPr>
            <w:tcW w:type="dxa" w:w="3744"/>
            <w:vAlign w:val="center"/>
          </w:tcPr>
          <w:p>
            <w:pPr>
              <w:spacing w:after="40"/>
            </w:pPr>
            <w:r>
              <w:rPr>
                <w:rFonts w:ascii="Microsoft YaHei" w:hAnsi="Microsoft YaHei" w:eastAsia="Microsoft YaHei"/>
                <w:sz w:val="18"/>
              </w:rPr>
              <w:t>语法门禁、单元回归、远端 E2E、业务闭环、文档采集链路和桌面端发布链路</w:t>
            </w:r>
          </w:p>
        </w:tc>
      </w:tr>
    </w:tbl>
    <w:p/>
    <w:p>
      <w:pPr>
        <w:pStyle w:val="Heading1"/>
      </w:pPr>
      <w:r>
        <w:rPr>
          <w:rFonts w:ascii="Microsoft YaHei" w:hAnsi="Microsoft YaHei" w:eastAsia="Microsoft YaHei"/>
          <w:b/>
          <w:color w:val="2E74B5"/>
          <w:sz w:val="32"/>
        </w:rPr>
        <w:t>2 项目定位与论文结构继承</w:t>
      </w:r>
    </w:p>
    <w:p>
      <w:pPr>
        <w:spacing w:after="120" w:line="276" w:lineRule="auto"/>
        <w:ind w:firstLine="403"/>
      </w:pPr>
      <w:r>
        <w:rPr>
          <w:rFonts w:ascii="Microsoft YaHei" w:hAnsi="Microsoft YaHei" w:eastAsia="Microsoft YaHei"/>
          <w:sz w:val="21"/>
        </w:rPr>
        <w:t>既有论文材料把 EISCore 放在企业信息化、制造业协同和轻量化 ERP/MES/WMS 融合的背景下进行阐述。该定位在当前系统中仍然成立，但系统的技术边界已经比原论文更宽：除了传统业务模块，还加入了应用中心、工作流、轻量本体语义、Smart BI、Grid Agent、Flash 工具调用、AI 自动入单、Windows 采集端和未来的 Agent 实施贯标运维系统。也就是说，当前 EISCore 已经从“业务系统实现”扩展为“业务系统本体 + 可配置平台 + 智能辅助层”的组合体。</w:t>
      </w:r>
    </w:p>
    <w:p>
      <w:pPr>
        <w:spacing w:after="120" w:line="276" w:lineRule="auto"/>
        <w:ind w:firstLine="403"/>
      </w:pPr>
      <w:r>
        <w:rPr>
          <w:rFonts w:ascii="Microsoft YaHei" w:hAnsi="Microsoft YaHei" w:eastAsia="Microsoft YaHei"/>
          <w:sz w:val="21"/>
        </w:rPr>
        <w:t>论文第一章通常说明研究背景与意义。映射到当前系统，背景是中小制造企业数据入口混乱、部门间信息割裂、纸质或 Excel 表格仍大量存在、流程审批和统计分析难以闭环。系统意义不只是减少人工录入，而是建立可追踪的数据资产：每个业务单据、流程任务、AI 入单结果、日志事件和修正记录都应能被追溯、统计和复用。</w:t>
      </w:r>
    </w:p>
    <w:p>
      <w:pPr>
        <w:spacing w:after="120" w:line="276" w:lineRule="auto"/>
        <w:ind w:firstLine="403"/>
      </w:pPr>
      <w:r>
        <w:rPr>
          <w:rFonts w:ascii="Microsoft YaHei" w:hAnsi="Microsoft YaHei" w:eastAsia="Microsoft YaHei"/>
          <w:sz w:val="21"/>
        </w:rPr>
        <w:t>论文第二章介绍相关技术。当前项目实际采用 Vue 3、Vite、Element Plus、Vant、AG Grid、qiankun 思路下的微前端组合、PostgreSQL 16、PostgREST、Docker Compose、Nginx、Node.js realtime 服务、WebSocket/HTTP、.NET WPF WebView2 采集端、SQLite 本地队列、Windows DPAPI 和 Playwright 自动化测试。这些技术并非堆叠，而是围绕“快速配置、快速交付、可自动化验证”的目标组合。</w:t>
      </w:r>
    </w:p>
    <w:p>
      <w:pPr>
        <w:spacing w:after="120" w:line="276" w:lineRule="auto"/>
        <w:ind w:firstLine="403"/>
      </w:pPr>
      <w:r>
        <w:rPr>
          <w:rFonts w:ascii="Microsoft YaHei" w:hAnsi="Microsoft YaHei" w:eastAsia="Microsoft YaHei"/>
          <w:sz w:val="21"/>
        </w:rPr>
        <w:t>论文第三章需求分析在当前系统中需要拆成两层：一层是企业业务平台需求，包括销售、采购、仓储、生产、质量、设备、人事和决策；另一层是平台化和智能化需求，包括动态表、动态字段、流程配置、语义配置、AI 辅助查询、资料自动识别、自动入单和后续实施运维知识沉淀。用户近期提出的智能收单需求，本质上是在第二层能力上继续叠加“无人值守数据入口”。</w:t>
      </w:r>
    </w:p>
    <w:p>
      <w:pPr>
        <w:spacing w:after="120" w:line="276" w:lineRule="auto"/>
        <w:ind w:firstLine="403"/>
      </w:pPr>
      <w:r>
        <w:rPr>
          <w:rFonts w:ascii="Microsoft YaHei" w:hAnsi="Microsoft YaHei" w:eastAsia="Microsoft YaHei"/>
          <w:sz w:val="21"/>
        </w:rPr>
        <w:t>论文第四、第五、第六章分别对应概要设计、数据库设计和详细设计。当前项目中，这些设计分别体现在 docker-compose 服务边界、前端工程拆分、SQL Schema 分层、PostgREST 配置、realtime worker、collector-desktop 本地队列以及测试脚本之中。尤其是数据库设计，已经不是静态 ER 图可以完全表达的形态，而是由基础表、业务表、动态应用表、运行时补丁、RLS 策略和语义元数据共同构成。</w:t>
      </w:r>
    </w:p>
    <w:p>
      <w:pPr>
        <w:spacing w:after="120" w:line="276" w:lineRule="auto"/>
        <w:ind w:firstLine="403"/>
      </w:pPr>
      <w:r>
        <w:rPr>
          <w:rFonts w:ascii="Microsoft YaHei" w:hAnsi="Microsoft YaHei" w:eastAsia="Microsoft YaHei"/>
          <w:sz w:val="21"/>
        </w:rPr>
        <w:t>论文第七章实现和测试在当前系统中也已有较强工程证据。根 package.json 中包含语法门禁、单元回归、Smart BI、Grid Agent、HTTP 客户端、文档采集、解析、计划、通用入库、固定入库、smoke、业务链路、Playwright E2E 和远端回归脚本。工程测试报告记录了多轮 PASS 结果、剩余风险和发布脚本验证。这说明系统不是只停留在设计稿，而已经具备可运行、可验证、可持续迭代的工程基础。</w:t>
      </w:r>
    </w:p>
    <w:tbl>
      <w:tblPr>
        <w:tblW w:type="auto" w:w="0"/>
        <w:jc w:val="center"/>
        <w:tblLook w:firstColumn="1" w:firstRow="1" w:lastColumn="0" w:lastRow="0" w:noHBand="0" w:noVBand="1" w:val="04A0"/>
        <w:tblBorders>
          <w:top w:val="single" w:sz="8" w:space="0" w:color="B7C7D8"/>
          <w:left w:val="single" w:sz="8" w:space="0" w:color="B7C7D8"/>
          <w:bottom w:val="single" w:sz="8" w:space="0" w:color="B7C7D8"/>
          <w:right w:val="single" w:sz="8" w:space="0" w:color="B7C7D8"/>
          <w:insideH w:val="single" w:sz="8" w:space="0" w:color="B7C7D8"/>
          <w:insideV w:val="single" w:sz="8" w:space="0" w:color="B7C7D8"/>
        </w:tblBorders>
      </w:tblPr>
      <w:tblGrid>
        <w:gridCol w:w="9360"/>
      </w:tblGrid>
      <w:tr>
        <w:tc>
          <w:tcPr>
            <w:tcW w:type="dxa" w:w="9360"/>
            <w:shd w:fill="F4F6F9"/>
          </w:tcPr>
          <w:p>
            <w:pPr>
              <w:spacing w:after="40"/>
            </w:pPr>
            <w:r>
              <w:rPr>
                <w:rFonts w:ascii="Microsoft YaHei" w:hAnsi="Microsoft YaHei" w:eastAsia="Microsoft YaHei"/>
                <w:b/>
                <w:color w:val="1F4D78"/>
                <w:sz w:val="20"/>
              </w:rPr>
              <w:t>阶段区分：</w:t>
            </w:r>
            <w:r>
              <w:rPr>
                <w:rFonts w:ascii="Microsoft YaHei" w:hAnsi="Microsoft YaHei" w:eastAsia="Microsoft YaHei"/>
                <w:sz w:val="20"/>
              </w:rPr>
              <w:t>本文档将 EISCore 当前本体系统作为主线；智能收单与 AI 自动入单是第一阶段新增能力；Agent 实施贯标运维系统是第二阶段独立产品方向。这样区分可以避免把所有愿景都塞进同一个交付范围，也方便后续按阶段排期、验收和融资/软著材料整理。</w:t>
            </w:r>
          </w:p>
        </w:tc>
      </w:tr>
    </w:tbl>
    <w:p/>
    <w:p>
      <w:pPr>
        <w:pStyle w:val="Heading1"/>
      </w:pPr>
      <w:r>
        <w:rPr>
          <w:rFonts w:ascii="Microsoft YaHei" w:hAnsi="Microsoft YaHei" w:eastAsia="Microsoft YaHei"/>
          <w:b/>
          <w:color w:val="2E74B5"/>
          <w:sz w:val="32"/>
        </w:rPr>
        <w:t>3 当前系统总体概览</w:t>
      </w:r>
    </w:p>
    <w:p>
      <w:pPr>
        <w:spacing w:before="60" w:after="120"/>
        <w:ind w:left="360" w:right="216"/>
      </w:pPr>
      <w:r>
        <w:rPr>
          <w:rFonts w:ascii="Consolas" w:hAnsi="Consolas" w:eastAsia="Consolas"/>
          <w:color w:val="3C4650"/>
          <w:sz w:val="18"/>
        </w:rPr>
        <w:t>用户浏览器 / Windows采集端 / 移动端</w:t>
        <w:br/>
      </w:r>
      <w:r>
        <w:rPr>
          <w:rFonts w:ascii="Consolas" w:hAnsi="Consolas" w:eastAsia="Consolas"/>
          <w:color w:val="3C4650"/>
          <w:sz w:val="18"/>
        </w:rPr>
        <w:t xml:space="preserve">        |</w:t>
        <w:br/>
      </w:r>
      <w:r>
        <w:rPr>
          <w:rFonts w:ascii="Consolas" w:hAnsi="Consolas" w:eastAsia="Consolas"/>
          <w:color w:val="3C4650"/>
          <w:sz w:val="18"/>
        </w:rPr>
        <w:t xml:space="preserve">        |  Nginx统一入口、微前端资源、反向代理</w:t>
        <w:br/>
      </w:r>
      <w:r>
        <w:rPr>
          <w:rFonts w:ascii="Consolas" w:hAnsi="Consolas" w:eastAsia="Consolas"/>
          <w:color w:val="3C4650"/>
          <w:sz w:val="18"/>
        </w:rPr>
        <w:t xml:space="preserve">        v</w:t>
        <w:br/>
      </w:r>
      <w:r>
        <w:rPr>
          <w:rFonts w:ascii="Consolas" w:hAnsi="Consolas" w:eastAsia="Consolas"/>
          <w:color w:val="3C4650"/>
          <w:sz w:val="18"/>
        </w:rPr>
        <w:t>Vue3微前端基座 eiscore-base</w:t>
        <w:br/>
      </w:r>
      <w:r>
        <w:rPr>
          <w:rFonts w:ascii="Consolas" w:hAnsi="Consolas" w:eastAsia="Consolas"/>
          <w:color w:val="3C4650"/>
          <w:sz w:val="18"/>
        </w:rPr>
        <w:t xml:space="preserve">        |-- eiscore-hr / materials / sales / purchase / production / quality / equipment / decision / mobile / apps</w:t>
        <w:br/>
      </w:r>
      <w:r>
        <w:rPr>
          <w:rFonts w:ascii="Consolas" w:hAnsi="Consolas" w:eastAsia="Consolas"/>
          <w:color w:val="3C4650"/>
          <w:sz w:val="18"/>
        </w:rPr>
        <w:t xml:space="preserve">        |</w:t>
        <w:br/>
      </w:r>
      <w:r>
        <w:rPr>
          <w:rFonts w:ascii="Consolas" w:hAnsi="Consolas" w:eastAsia="Consolas"/>
          <w:color w:val="3C4650"/>
          <w:sz w:val="18"/>
        </w:rPr>
        <w:t xml:space="preserve">        |  REST / RPC / WebSocket / Agent HTTP</w:t>
        <w:br/>
      </w:r>
      <w:r>
        <w:rPr>
          <w:rFonts w:ascii="Consolas" w:hAnsi="Consolas" w:eastAsia="Consolas"/>
          <w:color w:val="3C4650"/>
          <w:sz w:val="18"/>
        </w:rPr>
        <w:t xml:space="preserve">        v</w:t>
        <w:br/>
      </w:r>
      <w:r>
        <w:rPr>
          <w:rFonts w:ascii="Consolas" w:hAnsi="Consolas" w:eastAsia="Consolas"/>
          <w:color w:val="3C4650"/>
          <w:sz w:val="18"/>
        </w:rPr>
        <w:t>PostgREST API  &lt;----&gt;  PostgreSQL 16</w:t>
        <w:br/>
      </w:r>
      <w:r>
        <w:rPr>
          <w:rFonts w:ascii="Consolas" w:hAnsi="Consolas" w:eastAsia="Consolas"/>
          <w:color w:val="3C4650"/>
          <w:sz w:val="18"/>
        </w:rPr>
        <w:t xml:space="preserve">        |                 |-- public: 基础平台、语义、本体、AI资料采集</w:t>
        <w:br/>
      </w:r>
      <w:r>
        <w:rPr>
          <w:rFonts w:ascii="Consolas" w:hAnsi="Consolas" w:eastAsia="Consolas"/>
          <w:color w:val="3C4650"/>
          <w:sz w:val="18"/>
        </w:rPr>
        <w:t xml:space="preserve">        |                 |-- hr: 人事组织</w:t>
        <w:br/>
      </w:r>
      <w:r>
        <w:rPr>
          <w:rFonts w:ascii="Consolas" w:hAnsi="Consolas" w:eastAsia="Consolas"/>
          <w:color w:val="3C4650"/>
          <w:sz w:val="18"/>
        </w:rPr>
        <w:t xml:space="preserve">        |                 |-- scm: 物料、仓储、库存</w:t>
        <w:br/>
      </w:r>
      <w:r>
        <w:rPr>
          <w:rFonts w:ascii="Consolas" w:hAnsi="Consolas" w:eastAsia="Consolas"/>
          <w:color w:val="3C4650"/>
          <w:sz w:val="18"/>
        </w:rPr>
        <w:t xml:space="preserve">        |                 |-- app_center: 应用中心、动态路由、执行日志</w:t>
        <w:br/>
      </w:r>
      <w:r>
        <w:rPr>
          <w:rFonts w:ascii="Consolas" w:hAnsi="Consolas" w:eastAsia="Consolas"/>
          <w:color w:val="3C4650"/>
          <w:sz w:val="18"/>
        </w:rPr>
        <w:t xml:space="preserve">        |                 |-- workflow: 流程定义、实例、任务、事件</w:t>
        <w:br/>
      </w:r>
      <w:r>
        <w:rPr>
          <w:rFonts w:ascii="Consolas" w:hAnsi="Consolas" w:eastAsia="Consolas"/>
          <w:color w:val="3C4650"/>
          <w:sz w:val="18"/>
        </w:rPr>
        <w:t xml:space="preserve">        |                 |-- app_data: 动态业务表</w:t>
        <w:br/>
      </w:r>
      <w:r>
        <w:rPr>
          <w:rFonts w:ascii="Consolas" w:hAnsi="Consolas" w:eastAsia="Consolas"/>
          <w:color w:val="3C4650"/>
          <w:sz w:val="18"/>
        </w:rPr>
        <w:t xml:space="preserve">        |</w:t>
        <w:br/>
      </w:r>
      <w:r>
        <w:rPr>
          <w:rFonts w:ascii="Consolas" w:hAnsi="Consolas" w:eastAsia="Consolas"/>
          <w:color w:val="3C4650"/>
          <w:sz w:val="18"/>
        </w:rPr>
        <w:t xml:space="preserve">        v</w:t>
        <w:br/>
      </w:r>
      <w:r>
        <w:rPr>
          <w:rFonts w:ascii="Consolas" w:hAnsi="Consolas" w:eastAsia="Consolas"/>
          <w:color w:val="3C4650"/>
          <w:sz w:val="18"/>
        </w:rPr>
        <w:t>Agent Runtime realtime</w:t>
        <w:br/>
      </w:r>
      <w:r>
        <w:rPr>
          <w:rFonts w:ascii="Consolas" w:hAnsi="Consolas" w:eastAsia="Consolas"/>
          <w:color w:val="3C4650"/>
          <w:sz w:val="18"/>
        </w:rPr>
        <w:t xml:space="preserve">        |-- Flash工具调用 / Smart BI / Grid Agent</w:t>
        <w:br/>
      </w:r>
      <w:r>
        <w:rPr>
          <w:rFonts w:ascii="Consolas" w:hAnsi="Consolas" w:eastAsia="Consolas"/>
          <w:color w:val="3C4650"/>
          <w:sz w:val="18"/>
        </w:rPr>
        <w:t xml:space="preserve">        |-- Workflow Engine / 轻量本体上下文</w:t>
        <w:br/>
      </w:r>
      <w:r>
        <w:rPr>
          <w:rFonts w:ascii="Consolas" w:hAnsi="Consolas" w:eastAsia="Consolas"/>
          <w:color w:val="3C4650"/>
          <w:sz w:val="18"/>
        </w:rPr>
        <w:t xml:space="preserve">        |-- Document Intake handlers</w:t>
        <w:br/>
      </w:r>
      <w:r>
        <w:rPr>
          <w:rFonts w:ascii="Consolas" w:hAnsi="Consolas" w:eastAsia="Consolas"/>
          <w:color w:val="3C4650"/>
          <w:sz w:val="18"/>
        </w:rPr>
        <w:t xml:space="preserve">        |-- Parser / Planner / Entry workers</w:t>
        <w:br/>
      </w:r>
      <w:r>
        <w:rPr>
          <w:rFonts w:ascii="Consolas" w:hAnsi="Consolas" w:eastAsia="Consolas"/>
          <w:color w:val="3C4650"/>
          <w:sz w:val="18"/>
        </w:rPr>
        <w:t xml:space="preserve">        |</w:t>
        <w:br/>
      </w:r>
      <w:r>
        <w:rPr>
          <w:rFonts w:ascii="Consolas" w:hAnsi="Consolas" w:eastAsia="Consolas"/>
          <w:color w:val="3C4650"/>
          <w:sz w:val="18"/>
        </w:rPr>
        <w:t xml:space="preserve">        v</w:t>
        <w:br/>
      </w:r>
      <w:r>
        <w:rPr>
          <w:rFonts w:ascii="Consolas" w:hAnsi="Consolas" w:eastAsia="Consolas"/>
          <w:color w:val="3C4650"/>
          <w:sz w:val="18"/>
        </w:rPr>
        <w:t>业务单据、统计数据、审批流、修正记录、日志审计</w:t>
        <w:br/>
      </w:r>
    </w:p>
    <w:p>
      <w:pPr>
        <w:spacing w:before="40" w:after="160"/>
        <w:jc w:val="center"/>
      </w:pPr>
      <w:r>
        <w:rPr>
          <w:rFonts w:ascii="Microsoft YaHei" w:hAnsi="Microsoft YaHei" w:eastAsia="Microsoft YaHei"/>
          <w:i/>
          <w:color w:val="5B697A"/>
          <w:sz w:val="18"/>
        </w:rPr>
        <w:t>图 1 EISCore 当前系统逻辑架构示意</w:t>
      </w:r>
    </w:p>
    <w:p>
      <w:pPr>
        <w:spacing w:after="120" w:line="276" w:lineRule="auto"/>
        <w:ind w:firstLine="403"/>
      </w:pPr>
      <w:r>
        <w:rPr>
          <w:rFonts w:ascii="Microsoft YaHei" w:hAnsi="Microsoft YaHei" w:eastAsia="Microsoft YaHei"/>
          <w:sz w:val="21"/>
        </w:rPr>
        <w:t>EISCore 的总体架构可以理解为五层。第一层是访问层，包括 PC 浏览器、移动端浏览器和 Windows 采集端。第二层是前端体验层，包括基座门户和多个业务子应用。第三层是 API 与服务层，包括 Nginx、PostgREST、Swagger 和 Agent Runtime。第四层是数据中心层，以 PostgreSQL 为核心，按 public、hr、scm、app_center、workflow、app_data 等 Schema 组织。第五层是智能与治理层，包括轻量本体、语义配置、工作流策略、AI 工具、文档采集链路、客户端日志和后续实施运维知识库。</w:t>
      </w:r>
    </w:p>
    <w:p>
      <w:pPr>
        <w:spacing w:after="120" w:line="276" w:lineRule="auto"/>
        <w:ind w:firstLine="403"/>
      </w:pPr>
      <w:r>
        <w:rPr>
          <w:rFonts w:ascii="Microsoft YaHei" w:hAnsi="Microsoft YaHei" w:eastAsia="Microsoft YaHei"/>
          <w:sz w:val="21"/>
        </w:rPr>
        <w:t>这种分层方式的特点是数据库处于非常核心的位置。PostgREST 将数据库表、视图和 RPC 函数直接映射为 REST 接口，减少传统后端 CRUD 代码量；PostgreSQL 的函数、触发器、视图、RLS 和 Schema 分区承担了大量业务规则表达；realtime 服务则负责数据库难以直接承担的实时通信、Agent 编排、文件处理、AI 调用和长流程 worker。</w:t>
      </w:r>
    </w:p>
    <w:p>
      <w:pPr>
        <w:spacing w:after="120" w:line="276" w:lineRule="auto"/>
        <w:ind w:firstLine="403"/>
      </w:pPr>
      <w:r>
        <w:rPr>
          <w:rFonts w:ascii="Microsoft YaHei" w:hAnsi="Microsoft YaHei" w:eastAsia="Microsoft YaHei"/>
          <w:sz w:val="21"/>
        </w:rPr>
        <w:t>前端层采用多工程组织而不是单体前端。eiscore-base 作为统一入口和门户，其他业务工程以模块方式独立维护，包括人事、仓储物料、应用中心、移动端、销售、生产、采购、质量、设备和决策。该拆分对当前规模有两个优势：一是每个业务模块可以独立开发和构建；二是当某一模块复杂度增长时，不会立刻影响全部页面的代码结构。代价是开发端口、发布资源和跨模块路由需要更强治理。</w:t>
      </w:r>
    </w:p>
    <w:p>
      <w:pPr>
        <w:spacing w:after="120" w:line="276" w:lineRule="auto"/>
        <w:ind w:firstLine="403"/>
      </w:pPr>
      <w:r>
        <w:rPr>
          <w:rFonts w:ascii="Microsoft YaHei" w:hAnsi="Microsoft YaHei" w:eastAsia="Microsoft YaHei"/>
          <w:sz w:val="21"/>
        </w:rPr>
        <w:t>应用中心是当前系统区别于普通业务系统的关键。它不仅管理应用卡片和发布路由，还承载动态数据应用、工作流设计器、审批中心、本体关系工作台和应用运行时。也就是说，EISCore 不只是写死一批业务页面，而是在尝试形成一套可配置的业务应用生产机制。该机制为后续 AI 自动入单和 Agent 实施运维提供了重要落点：AI 识别结果可以写入动态应用，Agent 可以依据语义和流程配置理解系统对象。</w:t>
      </w:r>
    </w:p>
    <w:p>
      <w:pPr>
        <w:spacing w:after="120" w:line="276" w:lineRule="auto"/>
        <w:ind w:firstLine="403"/>
      </w:pPr>
      <w:r>
        <w:rPr>
          <w:rFonts w:ascii="Microsoft YaHei" w:hAnsi="Microsoft YaHei" w:eastAsia="Microsoft YaHei"/>
          <w:sz w:val="21"/>
        </w:rPr>
        <w:t>Agent Runtime 当前承担多个角色：一方面是实时服务和健康检查入口，另一方面提供 Flash 工具调用、工作流工具、数据网格工具、本体语义上下文、智能收单接口、解析/计划/入库 worker 等能力。该层是当前系统智能化升级的主要承载区。对架构评估而言，它既是灵活性来源，也是未来需要拆分和治理的重点，因为单个 realtime 服务中聚集了越来越多职责。</w:t>
      </w:r>
    </w:p>
    <w:p>
      <w:pPr>
        <w:spacing w:after="120" w:line="276" w:lineRule="auto"/>
        <w:ind w:firstLine="403"/>
      </w:pPr>
      <w:r>
        <w:rPr>
          <w:rFonts w:ascii="Microsoft YaHei" w:hAnsi="Microsoft YaHei" w:eastAsia="Microsoft YaHei"/>
          <w:sz w:val="21"/>
        </w:rPr>
        <w:t>Windows 采集端是近期需求中非常实际的一块。工厂人员不会主动进入系统选择业务类型，也不会稳定填写规范表单；他们更可能把每日 Excel、Word、PDF、图片或扫描件放到某个电脑文件夹中。采集端通过 WebView2 套壳、拖拽上传、目录监听、SQLite 队列、断网重试、设备绑定、默认上传用户、日志采集和自动更新，把复杂的现场入口包装成低操作负担的本地工具。</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340"/>
        <w:gridCol w:w="2340"/>
        <w:gridCol w:w="2340"/>
        <w:gridCol w:w="2340"/>
      </w:tblGrid>
      <w:tr>
        <w:tc>
          <w:tcPr>
            <w:tcW w:type="dxa" w:w="1584"/>
            <w:shd w:fill="E8EEF5"/>
            <w:vAlign w:val="center"/>
          </w:tcPr>
          <w:p>
            <w:pPr>
              <w:jc w:val="center"/>
            </w:pPr>
            <w:r>
              <w:rPr>
                <w:rFonts w:ascii="Microsoft YaHei" w:hAnsi="Microsoft YaHei" w:eastAsia="Microsoft YaHei"/>
                <w:b/>
                <w:sz w:val="18"/>
              </w:rPr>
              <w:t>层级</w:t>
            </w:r>
          </w:p>
        </w:tc>
        <w:tc>
          <w:tcPr>
            <w:tcW w:type="dxa" w:w="2376"/>
            <w:shd w:fill="E8EEF5"/>
            <w:vAlign w:val="center"/>
          </w:tcPr>
          <w:p>
            <w:pPr>
              <w:jc w:val="center"/>
            </w:pPr>
            <w:r>
              <w:rPr>
                <w:rFonts w:ascii="Microsoft YaHei" w:hAnsi="Microsoft YaHei" w:eastAsia="Microsoft YaHei"/>
                <w:b/>
                <w:sz w:val="18"/>
              </w:rPr>
              <w:t>主要组件</w:t>
            </w:r>
          </w:p>
        </w:tc>
        <w:tc>
          <w:tcPr>
            <w:tcW w:type="dxa" w:w="3384"/>
            <w:shd w:fill="E8EEF5"/>
            <w:vAlign w:val="center"/>
          </w:tcPr>
          <w:p>
            <w:pPr>
              <w:jc w:val="center"/>
            </w:pPr>
            <w:r>
              <w:rPr>
                <w:rFonts w:ascii="Microsoft YaHei" w:hAnsi="Microsoft YaHei" w:eastAsia="Microsoft YaHei"/>
                <w:b/>
                <w:sz w:val="18"/>
              </w:rPr>
              <w:t>职责</w:t>
            </w:r>
          </w:p>
        </w:tc>
        <w:tc>
          <w:tcPr>
            <w:tcW w:type="dxa" w:w="2015"/>
            <w:shd w:fill="E8EEF5"/>
            <w:vAlign w:val="center"/>
          </w:tcPr>
          <w:p>
            <w:pPr>
              <w:jc w:val="center"/>
            </w:pPr>
            <w:r>
              <w:rPr>
                <w:rFonts w:ascii="Microsoft YaHei" w:hAnsi="Microsoft YaHei" w:eastAsia="Microsoft YaHei"/>
                <w:b/>
                <w:sz w:val="18"/>
              </w:rPr>
              <w:t>当前判断</w:t>
            </w:r>
          </w:p>
        </w:tc>
      </w:tr>
      <w:tr>
        <w:tc>
          <w:tcPr>
            <w:tcW w:type="dxa" w:w="1584"/>
            <w:vAlign w:val="center"/>
          </w:tcPr>
          <w:p>
            <w:pPr>
              <w:spacing w:after="40"/>
            </w:pPr>
            <w:r>
              <w:rPr>
                <w:rFonts w:ascii="Microsoft YaHei" w:hAnsi="Microsoft YaHei" w:eastAsia="Microsoft YaHei"/>
                <w:sz w:val="18"/>
              </w:rPr>
              <w:t>访问层</w:t>
            </w:r>
          </w:p>
        </w:tc>
        <w:tc>
          <w:tcPr>
            <w:tcW w:type="dxa" w:w="2376"/>
            <w:vAlign w:val="center"/>
          </w:tcPr>
          <w:p>
            <w:pPr>
              <w:spacing w:after="40"/>
            </w:pPr>
            <w:r>
              <w:rPr>
                <w:rFonts w:ascii="Microsoft YaHei" w:hAnsi="Microsoft YaHei" w:eastAsia="Microsoft YaHei"/>
                <w:sz w:val="18"/>
              </w:rPr>
              <w:t>PC 浏览器、移动端、Windows 采集端</w:t>
            </w:r>
          </w:p>
        </w:tc>
        <w:tc>
          <w:tcPr>
            <w:tcW w:type="dxa" w:w="3384"/>
            <w:vAlign w:val="center"/>
          </w:tcPr>
          <w:p>
            <w:pPr>
              <w:spacing w:after="40"/>
            </w:pPr>
            <w:r>
              <w:rPr>
                <w:rFonts w:ascii="Microsoft YaHei" w:hAnsi="Microsoft YaHei" w:eastAsia="Microsoft YaHei"/>
                <w:sz w:val="18"/>
              </w:rPr>
              <w:t>承载办公、现场操作、资料采集和客户端日志</w:t>
            </w:r>
          </w:p>
        </w:tc>
        <w:tc>
          <w:tcPr>
            <w:tcW w:type="dxa" w:w="2015"/>
            <w:vAlign w:val="center"/>
          </w:tcPr>
          <w:p>
            <w:pPr>
              <w:spacing w:after="40"/>
            </w:pPr>
            <w:r>
              <w:rPr>
                <w:rFonts w:ascii="Microsoft YaHei" w:hAnsi="Microsoft YaHei" w:eastAsia="Microsoft YaHei"/>
                <w:sz w:val="18"/>
              </w:rPr>
              <w:t>覆盖主要入口，采集端是智能收单落地关键</w:t>
            </w:r>
          </w:p>
        </w:tc>
      </w:tr>
      <w:tr>
        <w:tc>
          <w:tcPr>
            <w:tcW w:type="dxa" w:w="1584"/>
            <w:vAlign w:val="center"/>
          </w:tcPr>
          <w:p>
            <w:pPr>
              <w:spacing w:after="40"/>
            </w:pPr>
            <w:r>
              <w:rPr>
                <w:rFonts w:ascii="Microsoft YaHei" w:hAnsi="Microsoft YaHei" w:eastAsia="Microsoft YaHei"/>
                <w:sz w:val="18"/>
              </w:rPr>
              <w:t>前端层</w:t>
            </w:r>
          </w:p>
        </w:tc>
        <w:tc>
          <w:tcPr>
            <w:tcW w:type="dxa" w:w="2376"/>
            <w:vAlign w:val="center"/>
          </w:tcPr>
          <w:p>
            <w:pPr>
              <w:spacing w:after="40"/>
            </w:pPr>
            <w:r>
              <w:rPr>
                <w:rFonts w:ascii="Microsoft YaHei" w:hAnsi="Microsoft YaHei" w:eastAsia="Microsoft YaHei"/>
                <w:sz w:val="18"/>
              </w:rPr>
              <w:t>eiscore-base 与 10 个子应用</w:t>
            </w:r>
          </w:p>
        </w:tc>
        <w:tc>
          <w:tcPr>
            <w:tcW w:type="dxa" w:w="3384"/>
            <w:vAlign w:val="center"/>
          </w:tcPr>
          <w:p>
            <w:pPr>
              <w:spacing w:after="40"/>
            </w:pPr>
            <w:r>
              <w:rPr>
                <w:rFonts w:ascii="Microsoft YaHei" w:hAnsi="Microsoft YaHei" w:eastAsia="Microsoft YaHei"/>
                <w:sz w:val="18"/>
              </w:rPr>
              <w:t>门户、业务页面、动态应用、移动工作台</w:t>
            </w:r>
          </w:p>
        </w:tc>
        <w:tc>
          <w:tcPr>
            <w:tcW w:type="dxa" w:w="2015"/>
            <w:vAlign w:val="center"/>
          </w:tcPr>
          <w:p>
            <w:pPr>
              <w:spacing w:after="40"/>
            </w:pPr>
            <w:r>
              <w:rPr>
                <w:rFonts w:ascii="Microsoft YaHei" w:hAnsi="Microsoft YaHei" w:eastAsia="Microsoft YaHei"/>
                <w:sz w:val="18"/>
              </w:rPr>
              <w:t>模块边界清楚，但端口和发布治理需加强</w:t>
            </w:r>
          </w:p>
        </w:tc>
      </w:tr>
      <w:tr>
        <w:tc>
          <w:tcPr>
            <w:tcW w:type="dxa" w:w="1584"/>
            <w:vAlign w:val="center"/>
          </w:tcPr>
          <w:p>
            <w:pPr>
              <w:spacing w:after="40"/>
            </w:pPr>
            <w:r>
              <w:rPr>
                <w:rFonts w:ascii="Microsoft YaHei" w:hAnsi="Microsoft YaHei" w:eastAsia="Microsoft YaHei"/>
                <w:sz w:val="18"/>
              </w:rPr>
              <w:t>服务层</w:t>
            </w:r>
          </w:p>
        </w:tc>
        <w:tc>
          <w:tcPr>
            <w:tcW w:type="dxa" w:w="2376"/>
            <w:vAlign w:val="center"/>
          </w:tcPr>
          <w:p>
            <w:pPr>
              <w:spacing w:after="40"/>
            </w:pPr>
            <w:r>
              <w:rPr>
                <w:rFonts w:ascii="Microsoft YaHei" w:hAnsi="Microsoft YaHei" w:eastAsia="Microsoft YaHei"/>
                <w:sz w:val="18"/>
              </w:rPr>
              <w:t>Nginx、PostgREST、Swagger、realtime</w:t>
            </w:r>
          </w:p>
        </w:tc>
        <w:tc>
          <w:tcPr>
            <w:tcW w:type="dxa" w:w="3384"/>
            <w:vAlign w:val="center"/>
          </w:tcPr>
          <w:p>
            <w:pPr>
              <w:spacing w:after="40"/>
            </w:pPr>
            <w:r>
              <w:rPr>
                <w:rFonts w:ascii="Microsoft YaHei" w:hAnsi="Microsoft YaHei" w:eastAsia="Microsoft YaHei"/>
                <w:sz w:val="18"/>
              </w:rPr>
              <w:t>反代、REST API、接口文档、Agent/worker/实时能力</w:t>
            </w:r>
          </w:p>
        </w:tc>
        <w:tc>
          <w:tcPr>
            <w:tcW w:type="dxa" w:w="2015"/>
            <w:vAlign w:val="center"/>
          </w:tcPr>
          <w:p>
            <w:pPr>
              <w:spacing w:after="40"/>
            </w:pPr>
            <w:r>
              <w:rPr>
                <w:rFonts w:ascii="Microsoft YaHei" w:hAnsi="Microsoft YaHei" w:eastAsia="Microsoft YaHei"/>
                <w:sz w:val="18"/>
              </w:rPr>
              <w:t>小规模部署轻量，realtime 职责逐步变宽</w:t>
            </w:r>
          </w:p>
        </w:tc>
      </w:tr>
      <w:tr>
        <w:tc>
          <w:tcPr>
            <w:tcW w:type="dxa" w:w="1584"/>
            <w:vAlign w:val="center"/>
          </w:tcPr>
          <w:p>
            <w:pPr>
              <w:spacing w:after="40"/>
            </w:pPr>
            <w:r>
              <w:rPr>
                <w:rFonts w:ascii="Microsoft YaHei" w:hAnsi="Microsoft YaHei" w:eastAsia="Microsoft YaHei"/>
                <w:sz w:val="18"/>
              </w:rPr>
              <w:t>数据层</w:t>
            </w:r>
          </w:p>
        </w:tc>
        <w:tc>
          <w:tcPr>
            <w:tcW w:type="dxa" w:w="2376"/>
            <w:vAlign w:val="center"/>
          </w:tcPr>
          <w:p>
            <w:pPr>
              <w:spacing w:after="40"/>
            </w:pPr>
            <w:r>
              <w:rPr>
                <w:rFonts w:ascii="Microsoft YaHei" w:hAnsi="Microsoft YaHei" w:eastAsia="Microsoft YaHei"/>
                <w:sz w:val="18"/>
              </w:rPr>
              <w:t>PostgreSQL 16 多 Schema</w:t>
            </w:r>
          </w:p>
        </w:tc>
        <w:tc>
          <w:tcPr>
            <w:tcW w:type="dxa" w:w="3384"/>
            <w:vAlign w:val="center"/>
          </w:tcPr>
          <w:p>
            <w:pPr>
              <w:spacing w:after="40"/>
            </w:pPr>
            <w:r>
              <w:rPr>
                <w:rFonts w:ascii="Microsoft YaHei" w:hAnsi="Microsoft YaHei" w:eastAsia="Microsoft YaHei"/>
                <w:sz w:val="18"/>
              </w:rPr>
              <w:t>主数据、业务表、动态表、流程、本体、日志和采集资产</w:t>
            </w:r>
          </w:p>
        </w:tc>
        <w:tc>
          <w:tcPr>
            <w:tcW w:type="dxa" w:w="2015"/>
            <w:vAlign w:val="center"/>
          </w:tcPr>
          <w:p>
            <w:pPr>
              <w:spacing w:after="40"/>
            </w:pPr>
            <w:r>
              <w:rPr>
                <w:rFonts w:ascii="Microsoft YaHei" w:hAnsi="Microsoft YaHei" w:eastAsia="Microsoft YaHei"/>
                <w:sz w:val="18"/>
              </w:rPr>
              <w:t>数据库中心化明显，适合快速交付和统计</w:t>
            </w:r>
          </w:p>
        </w:tc>
      </w:tr>
      <w:tr>
        <w:tc>
          <w:tcPr>
            <w:tcW w:type="dxa" w:w="1584"/>
            <w:vAlign w:val="center"/>
          </w:tcPr>
          <w:p>
            <w:pPr>
              <w:spacing w:after="40"/>
            </w:pPr>
            <w:r>
              <w:rPr>
                <w:rFonts w:ascii="Microsoft YaHei" w:hAnsi="Microsoft YaHei" w:eastAsia="Microsoft YaHei"/>
                <w:sz w:val="18"/>
              </w:rPr>
              <w:t>治理层</w:t>
            </w:r>
          </w:p>
        </w:tc>
        <w:tc>
          <w:tcPr>
            <w:tcW w:type="dxa" w:w="2376"/>
            <w:vAlign w:val="center"/>
          </w:tcPr>
          <w:p>
            <w:pPr>
              <w:spacing w:after="40"/>
            </w:pPr>
            <w:r>
              <w:rPr>
                <w:rFonts w:ascii="Microsoft YaHei" w:hAnsi="Microsoft YaHei" w:eastAsia="Microsoft YaHei"/>
                <w:sz w:val="18"/>
              </w:rPr>
              <w:t>工作流、RLS、本体语义、测试脚本</w:t>
            </w:r>
          </w:p>
        </w:tc>
        <w:tc>
          <w:tcPr>
            <w:tcW w:type="dxa" w:w="3384"/>
            <w:vAlign w:val="center"/>
          </w:tcPr>
          <w:p>
            <w:pPr>
              <w:spacing w:after="40"/>
            </w:pPr>
            <w:r>
              <w:rPr>
                <w:rFonts w:ascii="Microsoft YaHei" w:hAnsi="Microsoft YaHei" w:eastAsia="Microsoft YaHei"/>
                <w:sz w:val="18"/>
              </w:rPr>
              <w:t>权限、流程、语义、追溯和质量门禁</w:t>
            </w:r>
          </w:p>
        </w:tc>
        <w:tc>
          <w:tcPr>
            <w:tcW w:type="dxa" w:w="2015"/>
            <w:vAlign w:val="center"/>
          </w:tcPr>
          <w:p>
            <w:pPr>
              <w:spacing w:after="40"/>
            </w:pPr>
            <w:r>
              <w:rPr>
                <w:rFonts w:ascii="Microsoft YaHei" w:hAnsi="Microsoft YaHei" w:eastAsia="Microsoft YaHei"/>
                <w:sz w:val="18"/>
              </w:rPr>
              <w:t>已有基础，需要制度化执行</w:t>
            </w:r>
          </w:p>
        </w:tc>
      </w:tr>
    </w:tbl>
    <w:p/>
    <w:p>
      <w:pPr>
        <w:pStyle w:val="Heading1"/>
      </w:pPr>
      <w:r>
        <w:rPr>
          <w:rFonts w:ascii="Microsoft YaHei" w:hAnsi="Microsoft YaHei" w:eastAsia="Microsoft YaHei"/>
          <w:b/>
          <w:color w:val="2E74B5"/>
          <w:sz w:val="32"/>
        </w:rPr>
        <w:t>4 技术栈与运行环境</w:t>
      </w:r>
    </w:p>
    <w:p>
      <w:pPr>
        <w:spacing w:after="120" w:line="276" w:lineRule="auto"/>
        <w:ind w:firstLine="403"/>
      </w:pPr>
      <w:r>
        <w:rPr>
          <w:rFonts w:ascii="Microsoft YaHei" w:hAnsi="Microsoft YaHei" w:eastAsia="Microsoft YaHei"/>
          <w:sz w:val="21"/>
        </w:rPr>
        <w:t>当前本地项目运行在 WSL 与 Docker Desktop 结合的环境中。WSL 中保存项目主体，Windows 侧保存辅助脚本和生成文档；Docker Compose 负责启动数据库、PostgREST、Swagger、Nginx、Agent Runtime 和 code-server。该组合适合单机开发和小规模演示，但对正式交付要补齐环境检查、端口检测、备份恢复、日志轮转和版本升级脚本。</w:t>
      </w:r>
    </w:p>
    <w:p>
      <w:pPr>
        <w:spacing w:after="120" w:line="276" w:lineRule="auto"/>
        <w:ind w:firstLine="403"/>
      </w:pPr>
      <w:r>
        <w:rPr>
          <w:rFonts w:ascii="Microsoft YaHei" w:hAnsi="Microsoft YaHei" w:eastAsia="Microsoft YaHei"/>
          <w:sz w:val="21"/>
        </w:rPr>
        <w:t>Docker Compose 中的 db 服务使用 postgres:16，数据库名为 eiscore，通过初始化脚本创建角色、导入基础数据和应用中心 Schema。api 服务使用 postgrest/postgrest，将 public、hr、scm、app_center、workflow、app_data 暴露为 REST API。swagger 服务提供接口调试入口。nginx 负责 80 端口统一入口，并挂载 eiscore-base/dist 作为静态资源目录。</w:t>
      </w:r>
    </w:p>
    <w:p>
      <w:pPr>
        <w:spacing w:after="120" w:line="276" w:lineRule="auto"/>
        <w:ind w:firstLine="403"/>
      </w:pPr>
      <w:r>
        <w:rPr>
          <w:rFonts w:ascii="Microsoft YaHei" w:hAnsi="Microsoft YaHei" w:eastAsia="Microsoft YaHei"/>
          <w:sz w:val="21"/>
        </w:rPr>
        <w:t>agent-runtime 服务由 realtime 目录构建，运行 node index.js，端口为 8078。该服务挂载 realtime 源码和多个前端源码目录，还挂载 document_intake_data 数据卷以及 collector-desktop 发布目录。这个设计方便开发期实时同步代码和让 Agent 操作工作区文件，也说明 Agent Runtime 不只是普通 API 服务，而是带有工程工作区和文件处理权限的运行节点。</w:t>
      </w:r>
    </w:p>
    <w:p>
      <w:pPr>
        <w:spacing w:after="120" w:line="276" w:lineRule="auto"/>
        <w:ind w:firstLine="403"/>
      </w:pPr>
      <w:r>
        <w:rPr>
          <w:rFonts w:ascii="Microsoft YaHei" w:hAnsi="Microsoft YaHei" w:eastAsia="Microsoft YaHei"/>
          <w:sz w:val="21"/>
        </w:rPr>
        <w:t>code-server 服务提供浏览器内代码编辑环境，监听 8443，挂载配置目录和闪念草稿目录。它的根文件系统设置为只读，并通过 code_server_tmp、code_server_run、code_server_home 等卷提供必要运行目录。这说明项目已经考虑到把部分 AI 辅助开发或草稿生成能力隔离在受控目录中，避免 Agent 直接误改整个工程。</w:t>
      </w:r>
    </w:p>
    <w:p>
      <w:pPr>
        <w:spacing w:after="120" w:line="276" w:lineRule="auto"/>
        <w:ind w:firstLine="403"/>
      </w:pPr>
      <w:r>
        <w:rPr>
          <w:rFonts w:ascii="Microsoft YaHei" w:hAnsi="Microsoft YaHei" w:eastAsia="Microsoft YaHei"/>
          <w:sz w:val="21"/>
        </w:rPr>
        <w:t>前端技术栈以 Vue 3 和 Vite 为主，组件库包括 Element Plus、Vant、AG Grid 和图标组件。移动端使用 Vant 更符合移动触控场景；业务表格使用 AG Grid 支撑复杂数据网格、分页、汇总和筛选；基座和后台界面使用 Element Plus 保持桌面端一致性。这样的组合对制造企业后台系统是务实选择，重点是数据密度、表格操作、状态反馈和稳定性。</w:t>
      </w:r>
    </w:p>
    <w:p>
      <w:pPr>
        <w:spacing w:after="120" w:line="276" w:lineRule="auto"/>
        <w:ind w:firstLine="403"/>
      </w:pPr>
      <w:r>
        <w:rPr>
          <w:rFonts w:ascii="Microsoft YaHei" w:hAnsi="Microsoft YaHei" w:eastAsia="Microsoft YaHei"/>
          <w:sz w:val="21"/>
        </w:rPr>
        <w:t>工程脚本要求 Node 版本满足 ^20.19.0 或 &gt;=22.12.0，npm &gt;=10。此前本地构建曾观察到 Node 20.18.1 低于 Vite 建议版本的警告，这不是立刻阻断系统运行的问题，但会在长期维护中增加构建差异风险。因此建议把 Node 版本、npm 版本、Docker Desktop 版本、WSL 发行版和 .NET SDK 版本纳入项目环境基线文档。</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340"/>
        <w:gridCol w:w="2340"/>
        <w:gridCol w:w="2340"/>
        <w:gridCol w:w="2340"/>
      </w:tblGrid>
      <w:tr>
        <w:tc>
          <w:tcPr>
            <w:tcW w:type="dxa" w:w="1800"/>
            <w:shd w:fill="E8EEF5"/>
            <w:vAlign w:val="center"/>
          </w:tcPr>
          <w:p>
            <w:pPr>
              <w:jc w:val="center"/>
            </w:pPr>
            <w:r>
              <w:rPr>
                <w:rFonts w:ascii="Microsoft YaHei" w:hAnsi="Microsoft YaHei" w:eastAsia="Microsoft YaHei"/>
                <w:b/>
                <w:sz w:val="18"/>
              </w:rPr>
              <w:t>服务</w:t>
            </w:r>
          </w:p>
        </w:tc>
        <w:tc>
          <w:tcPr>
            <w:tcW w:type="dxa" w:w="2232"/>
            <w:shd w:fill="E8EEF5"/>
            <w:vAlign w:val="center"/>
          </w:tcPr>
          <w:p>
            <w:pPr>
              <w:jc w:val="center"/>
            </w:pPr>
            <w:r>
              <w:rPr>
                <w:rFonts w:ascii="Microsoft YaHei" w:hAnsi="Microsoft YaHei" w:eastAsia="Microsoft YaHei"/>
                <w:b/>
                <w:sz w:val="18"/>
              </w:rPr>
              <w:t>镜像/技术</w:t>
            </w:r>
          </w:p>
        </w:tc>
        <w:tc>
          <w:tcPr>
            <w:tcW w:type="dxa" w:w="1584"/>
            <w:shd w:fill="E8EEF5"/>
            <w:vAlign w:val="center"/>
          </w:tcPr>
          <w:p>
            <w:pPr>
              <w:jc w:val="center"/>
            </w:pPr>
            <w:r>
              <w:rPr>
                <w:rFonts w:ascii="Microsoft YaHei" w:hAnsi="Microsoft YaHei" w:eastAsia="Microsoft YaHei"/>
                <w:b/>
                <w:sz w:val="18"/>
              </w:rPr>
              <w:t>端口</w:t>
            </w:r>
          </w:p>
        </w:tc>
        <w:tc>
          <w:tcPr>
            <w:tcW w:type="dxa" w:w="3744"/>
            <w:shd w:fill="E8EEF5"/>
            <w:vAlign w:val="center"/>
          </w:tcPr>
          <w:p>
            <w:pPr>
              <w:jc w:val="center"/>
            </w:pPr>
            <w:r>
              <w:rPr>
                <w:rFonts w:ascii="Microsoft YaHei" w:hAnsi="Microsoft YaHei" w:eastAsia="Microsoft YaHei"/>
                <w:b/>
                <w:sz w:val="18"/>
              </w:rPr>
              <w:t>职责</w:t>
            </w:r>
          </w:p>
        </w:tc>
      </w:tr>
      <w:tr>
        <w:tc>
          <w:tcPr>
            <w:tcW w:type="dxa" w:w="1800"/>
            <w:vAlign w:val="center"/>
          </w:tcPr>
          <w:p>
            <w:pPr>
              <w:spacing w:after="40"/>
            </w:pPr>
            <w:r>
              <w:rPr>
                <w:rFonts w:ascii="Microsoft YaHei" w:hAnsi="Microsoft YaHei" w:eastAsia="Microsoft YaHei"/>
                <w:sz w:val="18"/>
              </w:rPr>
              <w:t>db</w:t>
            </w:r>
          </w:p>
        </w:tc>
        <w:tc>
          <w:tcPr>
            <w:tcW w:type="dxa" w:w="2232"/>
            <w:vAlign w:val="center"/>
          </w:tcPr>
          <w:p>
            <w:pPr>
              <w:spacing w:after="40"/>
            </w:pPr>
            <w:r>
              <w:rPr>
                <w:rFonts w:ascii="Microsoft YaHei" w:hAnsi="Microsoft YaHei" w:eastAsia="Microsoft YaHei"/>
                <w:sz w:val="18"/>
              </w:rPr>
              <w:t>postgres:16</w:t>
            </w:r>
          </w:p>
        </w:tc>
        <w:tc>
          <w:tcPr>
            <w:tcW w:type="dxa" w:w="1584"/>
            <w:vAlign w:val="center"/>
          </w:tcPr>
          <w:p>
            <w:pPr>
              <w:spacing w:after="40"/>
            </w:pPr>
            <w:r>
              <w:rPr>
                <w:rFonts w:ascii="Microsoft YaHei" w:hAnsi="Microsoft YaHei" w:eastAsia="Microsoft YaHei"/>
                <w:sz w:val="18"/>
              </w:rPr>
              <w:t>5432</w:t>
            </w:r>
          </w:p>
        </w:tc>
        <w:tc>
          <w:tcPr>
            <w:tcW w:type="dxa" w:w="3744"/>
            <w:vAlign w:val="center"/>
          </w:tcPr>
          <w:p>
            <w:pPr>
              <w:spacing w:after="40"/>
            </w:pPr>
            <w:r>
              <w:rPr>
                <w:rFonts w:ascii="Microsoft YaHei" w:hAnsi="Microsoft YaHei" w:eastAsia="Microsoft YaHei"/>
                <w:sz w:val="18"/>
              </w:rPr>
              <w:t>核心数据库，保存基础数据、业务数据、流程、本体、AI资料和日志</w:t>
            </w:r>
          </w:p>
        </w:tc>
      </w:tr>
      <w:tr>
        <w:tc>
          <w:tcPr>
            <w:tcW w:type="dxa" w:w="1800"/>
            <w:vAlign w:val="center"/>
          </w:tcPr>
          <w:p>
            <w:pPr>
              <w:spacing w:after="40"/>
            </w:pPr>
            <w:r>
              <w:rPr>
                <w:rFonts w:ascii="Microsoft YaHei" w:hAnsi="Microsoft YaHei" w:eastAsia="Microsoft YaHei"/>
                <w:sz w:val="18"/>
              </w:rPr>
              <w:t>api</w:t>
            </w:r>
          </w:p>
        </w:tc>
        <w:tc>
          <w:tcPr>
            <w:tcW w:type="dxa" w:w="2232"/>
            <w:vAlign w:val="center"/>
          </w:tcPr>
          <w:p>
            <w:pPr>
              <w:spacing w:after="40"/>
            </w:pPr>
            <w:r>
              <w:rPr>
                <w:rFonts w:ascii="Microsoft YaHei" w:hAnsi="Microsoft YaHei" w:eastAsia="Microsoft YaHei"/>
                <w:sz w:val="18"/>
              </w:rPr>
              <w:t>postgrest/postgrest</w:t>
            </w:r>
          </w:p>
        </w:tc>
        <w:tc>
          <w:tcPr>
            <w:tcW w:type="dxa" w:w="1584"/>
            <w:vAlign w:val="center"/>
          </w:tcPr>
          <w:p>
            <w:pPr>
              <w:spacing w:after="40"/>
            </w:pPr>
            <w:r>
              <w:rPr>
                <w:rFonts w:ascii="Microsoft YaHei" w:hAnsi="Microsoft YaHei" w:eastAsia="Microsoft YaHei"/>
                <w:sz w:val="18"/>
              </w:rPr>
              <w:t>3000</w:t>
            </w:r>
          </w:p>
        </w:tc>
        <w:tc>
          <w:tcPr>
            <w:tcW w:type="dxa" w:w="3744"/>
            <w:vAlign w:val="center"/>
          </w:tcPr>
          <w:p>
            <w:pPr>
              <w:spacing w:after="40"/>
            </w:pPr>
            <w:r>
              <w:rPr>
                <w:rFonts w:ascii="Microsoft YaHei" w:hAnsi="Microsoft YaHei" w:eastAsia="Microsoft YaHei"/>
                <w:sz w:val="18"/>
              </w:rPr>
              <w:t>按 Schema 暴露 REST API 和 RPC 调用</w:t>
            </w:r>
          </w:p>
        </w:tc>
      </w:tr>
      <w:tr>
        <w:tc>
          <w:tcPr>
            <w:tcW w:type="dxa" w:w="1800"/>
            <w:vAlign w:val="center"/>
          </w:tcPr>
          <w:p>
            <w:pPr>
              <w:spacing w:after="40"/>
            </w:pPr>
            <w:r>
              <w:rPr>
                <w:rFonts w:ascii="Microsoft YaHei" w:hAnsi="Microsoft YaHei" w:eastAsia="Microsoft YaHei"/>
                <w:sz w:val="18"/>
              </w:rPr>
              <w:t>swagger</w:t>
            </w:r>
          </w:p>
        </w:tc>
        <w:tc>
          <w:tcPr>
            <w:tcW w:type="dxa" w:w="2232"/>
            <w:vAlign w:val="center"/>
          </w:tcPr>
          <w:p>
            <w:pPr>
              <w:spacing w:after="40"/>
            </w:pPr>
            <w:r>
              <w:rPr>
                <w:rFonts w:ascii="Microsoft YaHei" w:hAnsi="Microsoft YaHei" w:eastAsia="Microsoft YaHei"/>
                <w:sz w:val="18"/>
              </w:rPr>
              <w:t>swaggerapi/swagger-ui</w:t>
            </w:r>
          </w:p>
        </w:tc>
        <w:tc>
          <w:tcPr>
            <w:tcW w:type="dxa" w:w="1584"/>
            <w:vAlign w:val="center"/>
          </w:tcPr>
          <w:p>
            <w:pPr>
              <w:spacing w:after="40"/>
            </w:pPr>
            <w:r>
              <w:rPr>
                <w:rFonts w:ascii="Microsoft YaHei" w:hAnsi="Microsoft YaHei" w:eastAsia="Microsoft YaHei"/>
                <w:sz w:val="18"/>
              </w:rPr>
              <w:t>8079-&gt;8080</w:t>
            </w:r>
          </w:p>
        </w:tc>
        <w:tc>
          <w:tcPr>
            <w:tcW w:type="dxa" w:w="3744"/>
            <w:vAlign w:val="center"/>
          </w:tcPr>
          <w:p>
            <w:pPr>
              <w:spacing w:after="40"/>
            </w:pPr>
            <w:r>
              <w:rPr>
                <w:rFonts w:ascii="Microsoft YaHei" w:hAnsi="Microsoft YaHei" w:eastAsia="Microsoft YaHei"/>
                <w:sz w:val="18"/>
              </w:rPr>
              <w:t>接口浏览与调试</w:t>
            </w:r>
          </w:p>
        </w:tc>
      </w:tr>
      <w:tr>
        <w:tc>
          <w:tcPr>
            <w:tcW w:type="dxa" w:w="1800"/>
            <w:vAlign w:val="center"/>
          </w:tcPr>
          <w:p>
            <w:pPr>
              <w:spacing w:after="40"/>
            </w:pPr>
            <w:r>
              <w:rPr>
                <w:rFonts w:ascii="Microsoft YaHei" w:hAnsi="Microsoft YaHei" w:eastAsia="Microsoft YaHei"/>
                <w:sz w:val="18"/>
              </w:rPr>
              <w:t>nginx</w:t>
            </w:r>
          </w:p>
        </w:tc>
        <w:tc>
          <w:tcPr>
            <w:tcW w:type="dxa" w:w="2232"/>
            <w:vAlign w:val="center"/>
          </w:tcPr>
          <w:p>
            <w:pPr>
              <w:spacing w:after="40"/>
            </w:pPr>
            <w:r>
              <w:rPr>
                <w:rFonts w:ascii="Microsoft YaHei" w:hAnsi="Microsoft YaHei" w:eastAsia="Microsoft YaHei"/>
                <w:sz w:val="18"/>
              </w:rPr>
              <w:t>nginx:alpine</w:t>
            </w:r>
          </w:p>
        </w:tc>
        <w:tc>
          <w:tcPr>
            <w:tcW w:type="dxa" w:w="1584"/>
            <w:vAlign w:val="center"/>
          </w:tcPr>
          <w:p>
            <w:pPr>
              <w:spacing w:after="40"/>
            </w:pPr>
            <w:r>
              <w:rPr>
                <w:rFonts w:ascii="Microsoft YaHei" w:hAnsi="Microsoft YaHei" w:eastAsia="Microsoft YaHei"/>
                <w:sz w:val="18"/>
              </w:rPr>
              <w:t>80</w:t>
            </w:r>
          </w:p>
        </w:tc>
        <w:tc>
          <w:tcPr>
            <w:tcW w:type="dxa" w:w="3744"/>
            <w:vAlign w:val="center"/>
          </w:tcPr>
          <w:p>
            <w:pPr>
              <w:spacing w:after="40"/>
            </w:pPr>
            <w:r>
              <w:rPr>
                <w:rFonts w:ascii="Microsoft YaHei" w:hAnsi="Microsoft YaHei" w:eastAsia="Microsoft YaHei"/>
                <w:sz w:val="18"/>
              </w:rPr>
              <w:t>统一入口、静态资源和反向代理</w:t>
            </w:r>
          </w:p>
        </w:tc>
      </w:tr>
      <w:tr>
        <w:tc>
          <w:tcPr>
            <w:tcW w:type="dxa" w:w="1800"/>
            <w:vAlign w:val="center"/>
          </w:tcPr>
          <w:p>
            <w:pPr>
              <w:spacing w:after="40"/>
            </w:pPr>
            <w:r>
              <w:rPr>
                <w:rFonts w:ascii="Microsoft YaHei" w:hAnsi="Microsoft YaHei" w:eastAsia="Microsoft YaHei"/>
                <w:sz w:val="18"/>
              </w:rPr>
              <w:t>agent-runtime</w:t>
            </w:r>
          </w:p>
        </w:tc>
        <w:tc>
          <w:tcPr>
            <w:tcW w:type="dxa" w:w="2232"/>
            <w:vAlign w:val="center"/>
          </w:tcPr>
          <w:p>
            <w:pPr>
              <w:spacing w:after="40"/>
            </w:pPr>
            <w:r>
              <w:rPr>
                <w:rFonts w:ascii="Microsoft YaHei" w:hAnsi="Microsoft YaHei" w:eastAsia="Microsoft YaHei"/>
                <w:sz w:val="18"/>
              </w:rPr>
              <w:t>Node.js realtime</w:t>
            </w:r>
          </w:p>
        </w:tc>
        <w:tc>
          <w:tcPr>
            <w:tcW w:type="dxa" w:w="1584"/>
            <w:vAlign w:val="center"/>
          </w:tcPr>
          <w:p>
            <w:pPr>
              <w:spacing w:after="40"/>
            </w:pPr>
            <w:r>
              <w:rPr>
                <w:rFonts w:ascii="Microsoft YaHei" w:hAnsi="Microsoft YaHei" w:eastAsia="Microsoft YaHei"/>
                <w:sz w:val="18"/>
              </w:rPr>
              <w:t>8078</w:t>
            </w:r>
          </w:p>
        </w:tc>
        <w:tc>
          <w:tcPr>
            <w:tcW w:type="dxa" w:w="3744"/>
            <w:vAlign w:val="center"/>
          </w:tcPr>
          <w:p>
            <w:pPr>
              <w:spacing w:after="40"/>
            </w:pPr>
            <w:r>
              <w:rPr>
                <w:rFonts w:ascii="Microsoft YaHei" w:hAnsi="Microsoft YaHei" w:eastAsia="Microsoft YaHei"/>
                <w:sz w:val="18"/>
              </w:rPr>
              <w:t>Agent、工作流、文档采集、worker、健康检查</w:t>
            </w:r>
          </w:p>
        </w:tc>
      </w:tr>
      <w:tr>
        <w:tc>
          <w:tcPr>
            <w:tcW w:type="dxa" w:w="1800"/>
            <w:vAlign w:val="center"/>
          </w:tcPr>
          <w:p>
            <w:pPr>
              <w:spacing w:after="40"/>
            </w:pPr>
            <w:r>
              <w:rPr>
                <w:rFonts w:ascii="Microsoft YaHei" w:hAnsi="Microsoft YaHei" w:eastAsia="Microsoft YaHei"/>
                <w:sz w:val="18"/>
              </w:rPr>
              <w:t>code-server</w:t>
            </w:r>
          </w:p>
        </w:tc>
        <w:tc>
          <w:tcPr>
            <w:tcW w:type="dxa" w:w="2232"/>
            <w:vAlign w:val="center"/>
          </w:tcPr>
          <w:p>
            <w:pPr>
              <w:spacing w:after="40"/>
            </w:pPr>
            <w:r>
              <w:rPr>
                <w:rFonts w:ascii="Microsoft YaHei" w:hAnsi="Microsoft YaHei" w:eastAsia="Microsoft YaHei"/>
                <w:sz w:val="18"/>
              </w:rPr>
              <w:t>codercom/code-server</w:t>
            </w:r>
          </w:p>
        </w:tc>
        <w:tc>
          <w:tcPr>
            <w:tcW w:type="dxa" w:w="1584"/>
            <w:vAlign w:val="center"/>
          </w:tcPr>
          <w:p>
            <w:pPr>
              <w:spacing w:after="40"/>
            </w:pPr>
            <w:r>
              <w:rPr>
                <w:rFonts w:ascii="Microsoft YaHei" w:hAnsi="Microsoft YaHei" w:eastAsia="Microsoft YaHei"/>
                <w:sz w:val="18"/>
              </w:rPr>
              <w:t>8443</w:t>
            </w:r>
          </w:p>
        </w:tc>
        <w:tc>
          <w:tcPr>
            <w:tcW w:type="dxa" w:w="3744"/>
            <w:vAlign w:val="center"/>
          </w:tcPr>
          <w:p>
            <w:pPr>
              <w:spacing w:after="40"/>
            </w:pPr>
            <w:r>
              <w:rPr>
                <w:rFonts w:ascii="Microsoft YaHei" w:hAnsi="Microsoft YaHei" w:eastAsia="Microsoft YaHei"/>
                <w:sz w:val="18"/>
              </w:rPr>
              <w:t>受控草稿目录在线编辑和辅助开发入口</w:t>
            </w:r>
          </w:p>
        </w:tc>
      </w:tr>
    </w:tbl>
    <w:p/>
    <w:p>
      <w:pPr>
        <w:pStyle w:val="Heading1"/>
      </w:pPr>
      <w:r>
        <w:rPr>
          <w:rFonts w:ascii="Microsoft YaHei" w:hAnsi="Microsoft YaHei" w:eastAsia="Microsoft YaHei"/>
          <w:b/>
          <w:color w:val="2E74B5"/>
          <w:sz w:val="32"/>
        </w:rPr>
        <w:t>5 前端微前端与用户体验层</w:t>
      </w:r>
    </w:p>
    <w:p>
      <w:pPr>
        <w:spacing w:after="120" w:line="276" w:lineRule="auto"/>
        <w:ind w:firstLine="403"/>
      </w:pPr>
      <w:r>
        <w:rPr>
          <w:rFonts w:ascii="Microsoft YaHei" w:hAnsi="Microsoft YaHei" w:eastAsia="Microsoft YaHei"/>
          <w:sz w:val="21"/>
        </w:rPr>
        <w:t>前端层目前是 EISCore 最直观的系统边界。项目下存在多个 eiscore-* 工程，每个工程都有自己的 package.json、Vite 开发脚本和构建脚本。基座负责统一入口，业务子应用按模块拆分。这种组织方式符合制造企业系统的长期演进特点：人事、仓储、销售、采购、生产、质量、设备、决策等模块的迭代节奏不同，独立工程可以降低相互影响。</w:t>
      </w:r>
    </w:p>
    <w:p>
      <w:pPr>
        <w:spacing w:after="120" w:line="276" w:lineRule="auto"/>
        <w:ind w:firstLine="403"/>
      </w:pPr>
      <w:r>
        <w:rPr>
          <w:rFonts w:ascii="Microsoft YaHei" w:hAnsi="Microsoft YaHei" w:eastAsia="Microsoft YaHei"/>
          <w:sz w:val="21"/>
        </w:rPr>
        <w:t>从用户体验角度看，EISCore 不是面向公众的营销网站，而是面向企业内部角色的操作系统。页面设计应优先考虑数据密度、表格可读性、录入效率、状态反馈、权限提示、错误可恢复和跨模块导航。基座中的多标签页、侧边栏模块、工作台和 AI Copilot，都是为了让企业用户在多业务模块之间保持连续操作。</w:t>
      </w:r>
    </w:p>
    <w:p>
      <w:pPr>
        <w:spacing w:after="120" w:line="276" w:lineRule="auto"/>
        <w:ind w:firstLine="403"/>
      </w:pPr>
      <w:r>
        <w:rPr>
          <w:rFonts w:ascii="Microsoft YaHei" w:hAnsi="Microsoft YaHei" w:eastAsia="Microsoft YaHei"/>
          <w:sz w:val="21"/>
        </w:rPr>
        <w:t>微前端拆分的关键不是“工程数量越多越好”，而是边界是否稳定。当前按业务域拆分基本合理：销售和采购属于供应链上下游，生产和质量属于制造执行，设备属于生产保障，人事属于组织权限，移动端属于现场入口，应用中心属于平台配置，决策属于跨模块汇总。未来如果模块继续增长，应建立统一的路由命名、菜单注册、权限声明、构建产物发布和旧 hash 资源保留规则。</w:t>
      </w:r>
    </w:p>
    <w:p>
      <w:pPr>
        <w:spacing w:after="120" w:line="276" w:lineRule="auto"/>
        <w:ind w:firstLine="403"/>
      </w:pPr>
      <w:r>
        <w:rPr>
          <w:rFonts w:ascii="Microsoft YaHei" w:hAnsi="Microsoft YaHei" w:eastAsia="Microsoft YaHei"/>
          <w:sz w:val="21"/>
        </w:rPr>
        <w:t>当前开发环境中多个前端模块分别占用 8080 到 8092 附近端口。此前主前端 8080 遇到 Windows IP Helper portproxy 占用，最终临时切换到 8092 启动。这说明开发环境需要一个端口登记和自动检测机制。对团队协作而言，固定端口是好事，但如果端口冲突没有自动提示，会让新人启动项目时误以为系统失败。</w:t>
      </w:r>
    </w:p>
    <w:p>
      <w:pPr>
        <w:spacing w:after="120" w:line="276" w:lineRule="auto"/>
        <w:ind w:firstLine="403"/>
      </w:pPr>
      <w:r>
        <w:rPr>
          <w:rFonts w:ascii="Microsoft YaHei" w:hAnsi="Microsoft YaHei" w:eastAsia="Microsoft YaHei"/>
          <w:sz w:val="21"/>
        </w:rPr>
        <w:t>前端工程还承担 AI 能力的展示和人机协作界面。AI Copilot、Smart BI、应用中心、审批中心、智能收单后台、文档入库详情等页面，都需要让用户知道系统做了什么、为什么这样判断、哪些字段来自资料、哪些字段是系统推断、哪些字段无法匹配、哪些结果可以修改。对于“识别错了后果不严重”的场景，前端应把可修改、可追溯和可统计做得比一次性准确率更重要。</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340"/>
        <w:gridCol w:w="2340"/>
        <w:gridCol w:w="2340"/>
        <w:gridCol w:w="2340"/>
      </w:tblGrid>
      <w:tr>
        <w:tc>
          <w:tcPr>
            <w:tcW w:type="dxa" w:w="1944"/>
            <w:shd w:fill="E8EEF5"/>
            <w:vAlign w:val="center"/>
          </w:tcPr>
          <w:p>
            <w:pPr>
              <w:jc w:val="center"/>
            </w:pPr>
            <w:r>
              <w:rPr>
                <w:rFonts w:ascii="Microsoft YaHei" w:hAnsi="Microsoft YaHei" w:eastAsia="Microsoft YaHei"/>
                <w:b/>
                <w:sz w:val="18"/>
              </w:rPr>
              <w:t>前端工程</w:t>
            </w:r>
          </w:p>
        </w:tc>
        <w:tc>
          <w:tcPr>
            <w:tcW w:type="dxa" w:w="1655"/>
            <w:shd w:fill="E8EEF5"/>
            <w:vAlign w:val="center"/>
          </w:tcPr>
          <w:p>
            <w:pPr>
              <w:jc w:val="center"/>
            </w:pPr>
            <w:r>
              <w:rPr>
                <w:rFonts w:ascii="Microsoft YaHei" w:hAnsi="Microsoft YaHei" w:eastAsia="Microsoft YaHei"/>
                <w:b/>
                <w:sz w:val="18"/>
              </w:rPr>
              <w:t>业务定位</w:t>
            </w:r>
          </w:p>
        </w:tc>
        <w:tc>
          <w:tcPr>
            <w:tcW w:type="dxa" w:w="3671"/>
            <w:shd w:fill="E8EEF5"/>
            <w:vAlign w:val="center"/>
          </w:tcPr>
          <w:p>
            <w:pPr>
              <w:jc w:val="center"/>
            </w:pPr>
            <w:r>
              <w:rPr>
                <w:rFonts w:ascii="Microsoft YaHei" w:hAnsi="Microsoft YaHei" w:eastAsia="Microsoft YaHei"/>
                <w:b/>
                <w:sz w:val="18"/>
              </w:rPr>
              <w:t>主要能力</w:t>
            </w:r>
          </w:p>
        </w:tc>
        <w:tc>
          <w:tcPr>
            <w:tcW w:type="dxa" w:w="2088"/>
            <w:shd w:fill="E8EEF5"/>
            <w:vAlign w:val="center"/>
          </w:tcPr>
          <w:p>
            <w:pPr>
              <w:jc w:val="center"/>
            </w:pPr>
            <w:r>
              <w:rPr>
                <w:rFonts w:ascii="Microsoft YaHei" w:hAnsi="Microsoft YaHei" w:eastAsia="Microsoft YaHei"/>
                <w:b/>
                <w:sz w:val="18"/>
              </w:rPr>
              <w:t>架构意义</w:t>
            </w:r>
          </w:p>
        </w:tc>
      </w:tr>
      <w:tr>
        <w:tc>
          <w:tcPr>
            <w:tcW w:type="dxa" w:w="1944"/>
            <w:vAlign w:val="center"/>
          </w:tcPr>
          <w:p>
            <w:pPr>
              <w:spacing w:after="40"/>
            </w:pPr>
            <w:r>
              <w:rPr>
                <w:rFonts w:ascii="Microsoft YaHei" w:hAnsi="Microsoft YaHei" w:eastAsia="Microsoft YaHei"/>
                <w:sz w:val="18"/>
              </w:rPr>
              <w:t>eiscore-base</w:t>
            </w:r>
          </w:p>
        </w:tc>
        <w:tc>
          <w:tcPr>
            <w:tcW w:type="dxa" w:w="1655"/>
            <w:vAlign w:val="center"/>
          </w:tcPr>
          <w:p>
            <w:pPr>
              <w:spacing w:after="40"/>
            </w:pPr>
            <w:r>
              <w:rPr>
                <w:rFonts w:ascii="Microsoft YaHei" w:hAnsi="Microsoft YaHei" w:eastAsia="Microsoft YaHei"/>
                <w:sz w:val="18"/>
              </w:rPr>
              <w:t>基座门户</w:t>
            </w:r>
          </w:p>
        </w:tc>
        <w:tc>
          <w:tcPr>
            <w:tcW w:type="dxa" w:w="3671"/>
            <w:vAlign w:val="center"/>
          </w:tcPr>
          <w:p>
            <w:pPr>
              <w:spacing w:after="40"/>
            </w:pPr>
            <w:r>
              <w:rPr>
                <w:rFonts w:ascii="Microsoft YaHei" w:hAnsi="Microsoft YaHei" w:eastAsia="Microsoft YaHei"/>
                <w:sz w:val="18"/>
              </w:rPr>
              <w:t>统一登录、首页、侧边栏、多标签、系统设置、AI Copilot、模块入口和静态资源承载。</w:t>
            </w:r>
          </w:p>
        </w:tc>
        <w:tc>
          <w:tcPr>
            <w:tcW w:type="dxa" w:w="2088"/>
            <w:vAlign w:val="center"/>
          </w:tcPr>
          <w:p>
            <w:pPr>
              <w:spacing w:after="40"/>
            </w:pPr>
            <w:r>
              <w:rPr>
                <w:rFonts w:ascii="Microsoft YaHei" w:hAnsi="Microsoft YaHei" w:eastAsia="Microsoft YaHei"/>
                <w:sz w:val="18"/>
              </w:rPr>
              <w:t>PC 端主入口，生产部署由 Nginx 挂载 dist。</w:t>
            </w:r>
          </w:p>
        </w:tc>
      </w:tr>
      <w:tr>
        <w:tc>
          <w:tcPr>
            <w:tcW w:type="dxa" w:w="1944"/>
            <w:vAlign w:val="center"/>
          </w:tcPr>
          <w:p>
            <w:pPr>
              <w:spacing w:after="40"/>
            </w:pPr>
            <w:r>
              <w:rPr>
                <w:rFonts w:ascii="Microsoft YaHei" w:hAnsi="Microsoft YaHei" w:eastAsia="Microsoft YaHei"/>
                <w:sz w:val="18"/>
              </w:rPr>
              <w:t>eiscore-hr</w:t>
            </w:r>
          </w:p>
        </w:tc>
        <w:tc>
          <w:tcPr>
            <w:tcW w:type="dxa" w:w="1655"/>
            <w:vAlign w:val="center"/>
          </w:tcPr>
          <w:p>
            <w:pPr>
              <w:spacing w:after="40"/>
            </w:pPr>
            <w:r>
              <w:rPr>
                <w:rFonts w:ascii="Microsoft YaHei" w:hAnsi="Microsoft YaHei" w:eastAsia="Microsoft YaHei"/>
                <w:sz w:val="18"/>
              </w:rPr>
              <w:t>人事管理</w:t>
            </w:r>
          </w:p>
        </w:tc>
        <w:tc>
          <w:tcPr>
            <w:tcW w:type="dxa" w:w="3671"/>
            <w:vAlign w:val="center"/>
          </w:tcPr>
          <w:p>
            <w:pPr>
              <w:spacing w:after="40"/>
            </w:pPr>
            <w:r>
              <w:rPr>
                <w:rFonts w:ascii="Microsoft YaHei" w:hAnsi="Microsoft YaHei" w:eastAsia="Microsoft YaHei"/>
                <w:sz w:val="18"/>
              </w:rPr>
              <w:t>员工、部门、角色、权限、考勤等组织基础能力。</w:t>
            </w:r>
          </w:p>
        </w:tc>
        <w:tc>
          <w:tcPr>
            <w:tcW w:type="dxa" w:w="2088"/>
            <w:vAlign w:val="center"/>
          </w:tcPr>
          <w:p>
            <w:pPr>
              <w:spacing w:after="40"/>
            </w:pPr>
            <w:r>
              <w:rPr>
                <w:rFonts w:ascii="Microsoft YaHei" w:hAnsi="Microsoft YaHei" w:eastAsia="Microsoft YaHei"/>
                <w:sz w:val="18"/>
              </w:rPr>
              <w:t>为业务权限、上传用户、岗位归属和流程分派提供基础数据。</w:t>
            </w:r>
          </w:p>
        </w:tc>
      </w:tr>
      <w:tr>
        <w:tc>
          <w:tcPr>
            <w:tcW w:type="dxa" w:w="1944"/>
            <w:vAlign w:val="center"/>
          </w:tcPr>
          <w:p>
            <w:pPr>
              <w:spacing w:after="40"/>
            </w:pPr>
            <w:r>
              <w:rPr>
                <w:rFonts w:ascii="Microsoft YaHei" w:hAnsi="Microsoft YaHei" w:eastAsia="Microsoft YaHei"/>
                <w:sz w:val="18"/>
              </w:rPr>
              <w:t>eiscore-materials</w:t>
            </w:r>
          </w:p>
        </w:tc>
        <w:tc>
          <w:tcPr>
            <w:tcW w:type="dxa" w:w="1655"/>
            <w:vAlign w:val="center"/>
          </w:tcPr>
          <w:p>
            <w:pPr>
              <w:spacing w:after="40"/>
            </w:pPr>
            <w:r>
              <w:rPr>
                <w:rFonts w:ascii="Microsoft YaHei" w:hAnsi="Microsoft YaHei" w:eastAsia="Microsoft YaHei"/>
                <w:sz w:val="18"/>
              </w:rPr>
              <w:t>仓储物料</w:t>
            </w:r>
          </w:p>
        </w:tc>
        <w:tc>
          <w:tcPr>
            <w:tcW w:type="dxa" w:w="3671"/>
            <w:vAlign w:val="center"/>
          </w:tcPr>
          <w:p>
            <w:pPr>
              <w:spacing w:after="40"/>
            </w:pPr>
            <w:r>
              <w:rPr>
                <w:rFonts w:ascii="Microsoft YaHei" w:hAnsi="Microsoft YaHei" w:eastAsia="Microsoft YaHei"/>
                <w:sz w:val="18"/>
              </w:rPr>
              <w:t>物料主数据、批次规则、仓库、库存入库、库存出库、库存查询和大屏。</w:t>
            </w:r>
          </w:p>
        </w:tc>
        <w:tc>
          <w:tcPr>
            <w:tcW w:type="dxa" w:w="2088"/>
            <w:vAlign w:val="center"/>
          </w:tcPr>
          <w:p>
            <w:pPr>
              <w:spacing w:after="40"/>
            </w:pPr>
            <w:r>
              <w:rPr>
                <w:rFonts w:ascii="Microsoft YaHei" w:hAnsi="Microsoft YaHei" w:eastAsia="Microsoft YaHei"/>
                <w:sz w:val="18"/>
              </w:rPr>
              <w:t>与采购、生产、销售出库和 AI 固定入库链路联系最紧密。</w:t>
            </w:r>
          </w:p>
        </w:tc>
      </w:tr>
      <w:tr>
        <w:tc>
          <w:tcPr>
            <w:tcW w:type="dxa" w:w="1944"/>
            <w:vAlign w:val="center"/>
          </w:tcPr>
          <w:p>
            <w:pPr>
              <w:spacing w:after="40"/>
            </w:pPr>
            <w:r>
              <w:rPr>
                <w:rFonts w:ascii="Microsoft YaHei" w:hAnsi="Microsoft YaHei" w:eastAsia="Microsoft YaHei"/>
                <w:sz w:val="18"/>
              </w:rPr>
              <w:t>eiscore-apps</w:t>
            </w:r>
          </w:p>
        </w:tc>
        <w:tc>
          <w:tcPr>
            <w:tcW w:type="dxa" w:w="1655"/>
            <w:vAlign w:val="center"/>
          </w:tcPr>
          <w:p>
            <w:pPr>
              <w:spacing w:after="40"/>
            </w:pPr>
            <w:r>
              <w:rPr>
                <w:rFonts w:ascii="Microsoft YaHei" w:hAnsi="Microsoft YaHei" w:eastAsia="Microsoft YaHei"/>
                <w:sz w:val="18"/>
              </w:rPr>
              <w:t>应用中心</w:t>
            </w:r>
          </w:p>
        </w:tc>
        <w:tc>
          <w:tcPr>
            <w:tcW w:type="dxa" w:w="3671"/>
            <w:vAlign w:val="center"/>
          </w:tcPr>
          <w:p>
            <w:pPr>
              <w:spacing w:after="40"/>
            </w:pPr>
            <w:r>
              <w:rPr>
                <w:rFonts w:ascii="Microsoft YaHei" w:hAnsi="Microsoft YaHei" w:eastAsia="Microsoft YaHei"/>
                <w:sz w:val="18"/>
              </w:rPr>
              <w:t>动态应用、工作流设计器、审批中心、应用运行时、本体关系工作台。</w:t>
            </w:r>
          </w:p>
        </w:tc>
        <w:tc>
          <w:tcPr>
            <w:tcW w:type="dxa" w:w="2088"/>
            <w:vAlign w:val="center"/>
          </w:tcPr>
          <w:p>
            <w:pPr>
              <w:spacing w:after="40"/>
            </w:pPr>
            <w:r>
              <w:rPr>
                <w:rFonts w:ascii="Microsoft YaHei" w:hAnsi="Microsoft YaHei" w:eastAsia="Microsoft YaHei"/>
                <w:sz w:val="18"/>
              </w:rPr>
              <w:t>系统平台化能力核心，承接动态表和语义治理。</w:t>
            </w:r>
          </w:p>
        </w:tc>
      </w:tr>
      <w:tr>
        <w:tc>
          <w:tcPr>
            <w:tcW w:type="dxa" w:w="1944"/>
            <w:vAlign w:val="center"/>
          </w:tcPr>
          <w:p>
            <w:pPr>
              <w:spacing w:after="40"/>
            </w:pPr>
            <w:r>
              <w:rPr>
                <w:rFonts w:ascii="Microsoft YaHei" w:hAnsi="Microsoft YaHei" w:eastAsia="Microsoft YaHei"/>
                <w:sz w:val="18"/>
              </w:rPr>
              <w:t>eiscore-mobile</w:t>
            </w:r>
          </w:p>
        </w:tc>
        <w:tc>
          <w:tcPr>
            <w:tcW w:type="dxa" w:w="1655"/>
            <w:vAlign w:val="center"/>
          </w:tcPr>
          <w:p>
            <w:pPr>
              <w:spacing w:after="40"/>
            </w:pPr>
            <w:r>
              <w:rPr>
                <w:rFonts w:ascii="Microsoft YaHei" w:hAnsi="Microsoft YaHei" w:eastAsia="Microsoft YaHei"/>
                <w:sz w:val="18"/>
              </w:rPr>
              <w:t>移动端</w:t>
            </w:r>
          </w:p>
        </w:tc>
        <w:tc>
          <w:tcPr>
            <w:tcW w:type="dxa" w:w="3671"/>
            <w:vAlign w:val="center"/>
          </w:tcPr>
          <w:p>
            <w:pPr>
              <w:spacing w:after="40"/>
            </w:pPr>
            <w:r>
              <w:rPr>
                <w:rFonts w:ascii="Microsoft YaHei" w:hAnsi="Microsoft YaHei" w:eastAsia="Microsoft YaHei"/>
                <w:sz w:val="18"/>
              </w:rPr>
              <w:t>移动工作台、库存盘点、扫码出入库、标签打印、移动助手。</w:t>
            </w:r>
          </w:p>
        </w:tc>
        <w:tc>
          <w:tcPr>
            <w:tcW w:type="dxa" w:w="2088"/>
            <w:vAlign w:val="center"/>
          </w:tcPr>
          <w:p>
            <w:pPr>
              <w:spacing w:after="40"/>
            </w:pPr>
            <w:r>
              <w:rPr>
                <w:rFonts w:ascii="Microsoft YaHei" w:hAnsi="Microsoft YaHei" w:eastAsia="Microsoft YaHei"/>
                <w:sz w:val="18"/>
              </w:rPr>
              <w:t>服务现场轻量作业，后续可承接采集端以外的移动数据入口。</w:t>
            </w:r>
          </w:p>
        </w:tc>
      </w:tr>
      <w:tr>
        <w:tc>
          <w:tcPr>
            <w:tcW w:type="dxa" w:w="1944"/>
            <w:vAlign w:val="center"/>
          </w:tcPr>
          <w:p>
            <w:pPr>
              <w:spacing w:after="40"/>
            </w:pPr>
            <w:r>
              <w:rPr>
                <w:rFonts w:ascii="Microsoft YaHei" w:hAnsi="Microsoft YaHei" w:eastAsia="Microsoft YaHei"/>
                <w:sz w:val="18"/>
              </w:rPr>
              <w:t>eiscore-sales</w:t>
            </w:r>
          </w:p>
        </w:tc>
        <w:tc>
          <w:tcPr>
            <w:tcW w:type="dxa" w:w="1655"/>
            <w:vAlign w:val="center"/>
          </w:tcPr>
          <w:p>
            <w:pPr>
              <w:spacing w:after="40"/>
            </w:pPr>
            <w:r>
              <w:rPr>
                <w:rFonts w:ascii="Microsoft YaHei" w:hAnsi="Microsoft YaHei" w:eastAsia="Microsoft YaHei"/>
                <w:sz w:val="18"/>
              </w:rPr>
              <w:t>销售管理</w:t>
            </w:r>
          </w:p>
        </w:tc>
        <w:tc>
          <w:tcPr>
            <w:tcW w:type="dxa" w:w="3671"/>
            <w:vAlign w:val="center"/>
          </w:tcPr>
          <w:p>
            <w:pPr>
              <w:spacing w:after="40"/>
            </w:pPr>
            <w:r>
              <w:rPr>
                <w:rFonts w:ascii="Microsoft YaHei" w:hAnsi="Microsoft YaHei" w:eastAsia="Microsoft YaHei"/>
                <w:sz w:val="18"/>
              </w:rPr>
              <w:t>客户档案、销售商机、销售订单、出货申请、回款记录、销售驾驶舱。</w:t>
            </w:r>
          </w:p>
        </w:tc>
        <w:tc>
          <w:tcPr>
            <w:tcW w:type="dxa" w:w="2088"/>
            <w:vAlign w:val="center"/>
          </w:tcPr>
          <w:p>
            <w:pPr>
              <w:spacing w:after="40"/>
            </w:pPr>
            <w:r>
              <w:rPr>
                <w:rFonts w:ascii="Microsoft YaHei" w:hAnsi="Microsoft YaHei" w:eastAsia="Microsoft YaHei"/>
                <w:sz w:val="18"/>
              </w:rPr>
              <w:t>从商机到订单再到出货和回款的前端业务链路。</w:t>
            </w:r>
          </w:p>
        </w:tc>
      </w:tr>
      <w:tr>
        <w:tc>
          <w:tcPr>
            <w:tcW w:type="dxa" w:w="1944"/>
            <w:vAlign w:val="center"/>
          </w:tcPr>
          <w:p>
            <w:pPr>
              <w:spacing w:after="40"/>
            </w:pPr>
            <w:r>
              <w:rPr>
                <w:rFonts w:ascii="Microsoft YaHei" w:hAnsi="Microsoft YaHei" w:eastAsia="Microsoft YaHei"/>
                <w:sz w:val="18"/>
              </w:rPr>
              <w:t>eiscore-purchase</w:t>
            </w:r>
          </w:p>
        </w:tc>
        <w:tc>
          <w:tcPr>
            <w:tcW w:type="dxa" w:w="1655"/>
            <w:vAlign w:val="center"/>
          </w:tcPr>
          <w:p>
            <w:pPr>
              <w:spacing w:after="40"/>
            </w:pPr>
            <w:r>
              <w:rPr>
                <w:rFonts w:ascii="Microsoft YaHei" w:hAnsi="Microsoft YaHei" w:eastAsia="Microsoft YaHei"/>
                <w:sz w:val="18"/>
              </w:rPr>
              <w:t>采购管理</w:t>
            </w:r>
          </w:p>
        </w:tc>
        <w:tc>
          <w:tcPr>
            <w:tcW w:type="dxa" w:w="3671"/>
            <w:vAlign w:val="center"/>
          </w:tcPr>
          <w:p>
            <w:pPr>
              <w:spacing w:after="40"/>
            </w:pPr>
            <w:r>
              <w:rPr>
                <w:rFonts w:ascii="Microsoft YaHei" w:hAnsi="Microsoft YaHei" w:eastAsia="Microsoft YaHei"/>
                <w:sz w:val="18"/>
              </w:rPr>
              <w:t>供应商档案、采购需求、采购订单、到货跟踪、采购驾驶舱。</w:t>
            </w:r>
          </w:p>
        </w:tc>
        <w:tc>
          <w:tcPr>
            <w:tcW w:type="dxa" w:w="2088"/>
            <w:vAlign w:val="center"/>
          </w:tcPr>
          <w:p>
            <w:pPr>
              <w:spacing w:after="40"/>
            </w:pPr>
            <w:r>
              <w:rPr>
                <w:rFonts w:ascii="Microsoft YaHei" w:hAnsi="Microsoft YaHei" w:eastAsia="Microsoft YaHei"/>
                <w:sz w:val="18"/>
              </w:rPr>
              <w:t>连接生产需求、库存补货和入库验收。</w:t>
            </w:r>
          </w:p>
        </w:tc>
      </w:tr>
      <w:tr>
        <w:tc>
          <w:tcPr>
            <w:tcW w:type="dxa" w:w="1944"/>
            <w:vAlign w:val="center"/>
          </w:tcPr>
          <w:p>
            <w:pPr>
              <w:spacing w:after="40"/>
            </w:pPr>
            <w:r>
              <w:rPr>
                <w:rFonts w:ascii="Microsoft YaHei" w:hAnsi="Microsoft YaHei" w:eastAsia="Microsoft YaHei"/>
                <w:sz w:val="18"/>
              </w:rPr>
              <w:t>eiscore-production</w:t>
            </w:r>
          </w:p>
        </w:tc>
        <w:tc>
          <w:tcPr>
            <w:tcW w:type="dxa" w:w="1655"/>
            <w:vAlign w:val="center"/>
          </w:tcPr>
          <w:p>
            <w:pPr>
              <w:spacing w:after="40"/>
            </w:pPr>
            <w:r>
              <w:rPr>
                <w:rFonts w:ascii="Microsoft YaHei" w:hAnsi="Microsoft YaHei" w:eastAsia="Microsoft YaHei"/>
                <w:sz w:val="18"/>
              </w:rPr>
              <w:t>生产管理</w:t>
            </w:r>
          </w:p>
        </w:tc>
        <w:tc>
          <w:tcPr>
            <w:tcW w:type="dxa" w:w="3671"/>
            <w:vAlign w:val="center"/>
          </w:tcPr>
          <w:p>
            <w:pPr>
              <w:spacing w:after="40"/>
            </w:pPr>
            <w:r>
              <w:rPr>
                <w:rFonts w:ascii="Microsoft YaHei" w:hAnsi="Microsoft YaHei" w:eastAsia="Microsoft YaHei"/>
                <w:sz w:val="18"/>
              </w:rPr>
              <w:t>产品配方/BOM、生产建议、生产工单、领料齐套、生产总览。</w:t>
            </w:r>
          </w:p>
        </w:tc>
        <w:tc>
          <w:tcPr>
            <w:tcW w:type="dxa" w:w="2088"/>
            <w:vAlign w:val="center"/>
          </w:tcPr>
          <w:p>
            <w:pPr>
              <w:spacing w:after="40"/>
            </w:pPr>
            <w:r>
              <w:rPr>
                <w:rFonts w:ascii="Microsoft YaHei" w:hAnsi="Microsoft YaHei" w:eastAsia="Microsoft YaHei"/>
                <w:sz w:val="18"/>
              </w:rPr>
              <w:t>承接销售需求和物料库存，体现制造企业核心执行过程。</w:t>
            </w:r>
          </w:p>
        </w:tc>
      </w:tr>
      <w:tr>
        <w:tc>
          <w:tcPr>
            <w:tcW w:type="dxa" w:w="1944"/>
            <w:vAlign w:val="center"/>
          </w:tcPr>
          <w:p>
            <w:pPr>
              <w:spacing w:after="40"/>
            </w:pPr>
            <w:r>
              <w:rPr>
                <w:rFonts w:ascii="Microsoft YaHei" w:hAnsi="Microsoft YaHei" w:eastAsia="Microsoft YaHei"/>
                <w:sz w:val="18"/>
              </w:rPr>
              <w:t>eiscore-quality</w:t>
            </w:r>
          </w:p>
        </w:tc>
        <w:tc>
          <w:tcPr>
            <w:tcW w:type="dxa" w:w="1655"/>
            <w:vAlign w:val="center"/>
          </w:tcPr>
          <w:p>
            <w:pPr>
              <w:spacing w:after="40"/>
            </w:pPr>
            <w:r>
              <w:rPr>
                <w:rFonts w:ascii="Microsoft YaHei" w:hAnsi="Microsoft YaHei" w:eastAsia="Microsoft YaHei"/>
                <w:sz w:val="18"/>
              </w:rPr>
              <w:t>质量管理</w:t>
            </w:r>
          </w:p>
        </w:tc>
        <w:tc>
          <w:tcPr>
            <w:tcW w:type="dxa" w:w="3671"/>
            <w:vAlign w:val="center"/>
          </w:tcPr>
          <w:p>
            <w:pPr>
              <w:spacing w:after="40"/>
            </w:pPr>
            <w:r>
              <w:rPr>
                <w:rFonts w:ascii="Microsoft YaHei" w:hAnsi="Microsoft YaHei" w:eastAsia="Microsoft YaHei"/>
                <w:sz w:val="18"/>
              </w:rPr>
              <w:t>检验台账、生产检验、质量异常 NCR、整改任务、质量审核和检验标准。</w:t>
            </w:r>
          </w:p>
        </w:tc>
        <w:tc>
          <w:tcPr>
            <w:tcW w:type="dxa" w:w="2088"/>
            <w:vAlign w:val="center"/>
          </w:tcPr>
          <w:p>
            <w:pPr>
              <w:spacing w:after="40"/>
            </w:pPr>
            <w:r>
              <w:rPr>
                <w:rFonts w:ascii="Microsoft YaHei" w:hAnsi="Microsoft YaHei" w:eastAsia="Microsoft YaHei"/>
                <w:sz w:val="18"/>
              </w:rPr>
              <w:t>支撑来料、过程、成品和异常闭环。</w:t>
            </w:r>
          </w:p>
        </w:tc>
      </w:tr>
      <w:tr>
        <w:tc>
          <w:tcPr>
            <w:tcW w:type="dxa" w:w="1944"/>
            <w:vAlign w:val="center"/>
          </w:tcPr>
          <w:p>
            <w:pPr>
              <w:spacing w:after="40"/>
            </w:pPr>
            <w:r>
              <w:rPr>
                <w:rFonts w:ascii="Microsoft YaHei" w:hAnsi="Microsoft YaHei" w:eastAsia="Microsoft YaHei"/>
                <w:sz w:val="18"/>
              </w:rPr>
              <w:t>eiscore-equipment</w:t>
            </w:r>
          </w:p>
        </w:tc>
        <w:tc>
          <w:tcPr>
            <w:tcW w:type="dxa" w:w="1655"/>
            <w:vAlign w:val="center"/>
          </w:tcPr>
          <w:p>
            <w:pPr>
              <w:spacing w:after="40"/>
            </w:pPr>
            <w:r>
              <w:rPr>
                <w:rFonts w:ascii="Microsoft YaHei" w:hAnsi="Microsoft YaHei" w:eastAsia="Microsoft YaHei"/>
                <w:sz w:val="18"/>
              </w:rPr>
              <w:t>设备管理</w:t>
            </w:r>
          </w:p>
        </w:tc>
        <w:tc>
          <w:tcPr>
            <w:tcW w:type="dxa" w:w="3671"/>
            <w:vAlign w:val="center"/>
          </w:tcPr>
          <w:p>
            <w:pPr>
              <w:spacing w:after="40"/>
            </w:pPr>
            <w:r>
              <w:rPr>
                <w:rFonts w:ascii="Microsoft YaHei" w:hAnsi="Microsoft YaHei" w:eastAsia="Microsoft YaHei"/>
                <w:sz w:val="18"/>
              </w:rPr>
              <w:t>设备台账、点检记录、设备异常、维保工单、巡检计划和保养标准。</w:t>
            </w:r>
          </w:p>
        </w:tc>
        <w:tc>
          <w:tcPr>
            <w:tcW w:type="dxa" w:w="2088"/>
            <w:vAlign w:val="center"/>
          </w:tcPr>
          <w:p>
            <w:pPr>
              <w:spacing w:after="40"/>
            </w:pPr>
            <w:r>
              <w:rPr>
                <w:rFonts w:ascii="Microsoft YaHei" w:hAnsi="Microsoft YaHei" w:eastAsia="Microsoft YaHei"/>
                <w:sz w:val="18"/>
              </w:rPr>
              <w:t>保障生产设备可用性，适合与移动端和智能收单结合。</w:t>
            </w:r>
          </w:p>
        </w:tc>
      </w:tr>
      <w:tr>
        <w:tc>
          <w:tcPr>
            <w:tcW w:type="dxa" w:w="1944"/>
            <w:vAlign w:val="center"/>
          </w:tcPr>
          <w:p>
            <w:pPr>
              <w:spacing w:after="40"/>
            </w:pPr>
            <w:r>
              <w:rPr>
                <w:rFonts w:ascii="Microsoft YaHei" w:hAnsi="Microsoft YaHei" w:eastAsia="Microsoft YaHei"/>
                <w:sz w:val="18"/>
              </w:rPr>
              <w:t>eiscore-decision</w:t>
            </w:r>
          </w:p>
        </w:tc>
        <w:tc>
          <w:tcPr>
            <w:tcW w:type="dxa" w:w="1655"/>
            <w:vAlign w:val="center"/>
          </w:tcPr>
          <w:p>
            <w:pPr>
              <w:spacing w:after="40"/>
            </w:pPr>
            <w:r>
              <w:rPr>
                <w:rFonts w:ascii="Microsoft YaHei" w:hAnsi="Microsoft YaHei" w:eastAsia="Microsoft YaHei"/>
                <w:sz w:val="18"/>
              </w:rPr>
              <w:t>决策支持</w:t>
            </w:r>
          </w:p>
        </w:tc>
        <w:tc>
          <w:tcPr>
            <w:tcW w:type="dxa" w:w="3671"/>
            <w:vAlign w:val="center"/>
          </w:tcPr>
          <w:p>
            <w:pPr>
              <w:spacing w:after="40"/>
            </w:pPr>
            <w:r>
              <w:rPr>
                <w:rFonts w:ascii="Microsoft YaHei" w:hAnsi="Microsoft YaHei" w:eastAsia="Microsoft YaHei"/>
                <w:sz w:val="18"/>
              </w:rPr>
              <w:t>驾驶舱卡片、统计指标、跨模块数据分析。</w:t>
            </w:r>
          </w:p>
        </w:tc>
        <w:tc>
          <w:tcPr>
            <w:tcW w:type="dxa" w:w="2088"/>
            <w:vAlign w:val="center"/>
          </w:tcPr>
          <w:p>
            <w:pPr>
              <w:spacing w:after="40"/>
            </w:pPr>
            <w:r>
              <w:rPr>
                <w:rFonts w:ascii="Microsoft YaHei" w:hAnsi="Microsoft YaHei" w:eastAsia="Microsoft YaHei"/>
                <w:sz w:val="18"/>
              </w:rPr>
              <w:t>面向管理层的综合观察入口，依赖底层数据质量。</w:t>
            </w:r>
          </w:p>
        </w:tc>
      </w:tr>
    </w:tbl>
    <w:p/>
    <w:p>
      <w:pPr>
        <w:pStyle w:val="Heading3"/>
      </w:pPr>
      <w:r>
        <w:rPr>
          <w:rFonts w:ascii="Microsoft YaHei" w:hAnsi="Microsoft YaHei" w:eastAsia="Microsoft YaHei"/>
          <w:b/>
          <w:color w:val="1F4D78"/>
          <w:sz w:val="24"/>
        </w:rPr>
        <w:t>eiscore-base：基座门户</w:t>
      </w:r>
    </w:p>
    <w:p>
      <w:pPr>
        <w:spacing w:after="120" w:line="276" w:lineRule="auto"/>
        <w:ind w:firstLine="403"/>
      </w:pPr>
      <w:r>
        <w:rPr>
          <w:rFonts w:ascii="Microsoft YaHei" w:hAnsi="Microsoft YaHei" w:eastAsia="Microsoft YaHei"/>
          <w:sz w:val="21"/>
        </w:rPr>
        <w:t>eiscore-base 作为 基座门户 前端工程，主要覆盖统一登录、首页、侧边栏、多标签、系统设置、AI Copilot、模块入口和静态资源承载。它在整体架构中的意义是：PC 端主入口，生产部署由 Nginx 挂载 dist。 当前工程采用 Vite 构建，便于开发期快速热更新和生产期独立打包。对未来交付而言，该模块应继续保持与基座的路由、权限、接口客户端和主题风格一致，避免模块独立演进后出现体验割裂。</w:t>
      </w:r>
    </w:p>
    <w:p>
      <w:pPr>
        <w:spacing w:after="120" w:line="276" w:lineRule="auto"/>
        <w:ind w:firstLine="403"/>
      </w:pPr>
      <w:r>
        <w:rPr>
          <w:rFonts w:ascii="Microsoft YaHei" w:hAnsi="Microsoft YaHei" w:eastAsia="Microsoft YaHei"/>
          <w:sz w:val="21"/>
        </w:rPr>
        <w:t>从数据关系看，基座门户 并不是孤立页面。它的数据通常来自 PostgreSQL 中的固定 Schema、动态表或 RPC 函数，同时又会反向影响工作流、统计驾驶舱和 AI 语义上下文。模块内部新增字段、状态、枚举或统计口径时，应同步考虑 app_center 配置、语义元数据、权限策略和自动化测试，防止页面可用但平台层不可理解。</w:t>
      </w:r>
    </w:p>
    <w:p>
      <w:pPr>
        <w:pStyle w:val="Heading3"/>
      </w:pPr>
      <w:r>
        <w:rPr>
          <w:rFonts w:ascii="Microsoft YaHei" w:hAnsi="Microsoft YaHei" w:eastAsia="Microsoft YaHei"/>
          <w:b/>
          <w:color w:val="1F4D78"/>
          <w:sz w:val="24"/>
        </w:rPr>
        <w:t>eiscore-hr：人事管理</w:t>
      </w:r>
    </w:p>
    <w:p>
      <w:pPr>
        <w:spacing w:after="120" w:line="276" w:lineRule="auto"/>
        <w:ind w:firstLine="403"/>
      </w:pPr>
      <w:r>
        <w:rPr>
          <w:rFonts w:ascii="Microsoft YaHei" w:hAnsi="Microsoft YaHei" w:eastAsia="Microsoft YaHei"/>
          <w:sz w:val="21"/>
        </w:rPr>
        <w:t>eiscore-hr 作为 人事管理 前端工程，主要覆盖员工、部门、角色、权限、考勤等组织基础能力。它在整体架构中的意义是：为业务权限、上传用户、岗位归属和流程分派提供基础数据。 当前工程采用 Vite 构建，便于开发期快速热更新和生产期独立打包。对未来交付而言，该模块应继续保持与基座的路由、权限、接口客户端和主题风格一致，避免模块独立演进后出现体验割裂。</w:t>
      </w:r>
    </w:p>
    <w:p>
      <w:pPr>
        <w:spacing w:after="120" w:line="276" w:lineRule="auto"/>
        <w:ind w:firstLine="403"/>
      </w:pPr>
      <w:r>
        <w:rPr>
          <w:rFonts w:ascii="Microsoft YaHei" w:hAnsi="Microsoft YaHei" w:eastAsia="Microsoft YaHei"/>
          <w:sz w:val="21"/>
        </w:rPr>
        <w:t>从数据关系看，人事管理 并不是孤立页面。它的数据通常来自 PostgreSQL 中的固定 Schema、动态表或 RPC 函数，同时又会反向影响工作流、统计驾驶舱和 AI 语义上下文。模块内部新增字段、状态、枚举或统计口径时，应同步考虑 app_center 配置、语义元数据、权限策略和自动化测试，防止页面可用但平台层不可理解。</w:t>
      </w:r>
    </w:p>
    <w:p>
      <w:pPr>
        <w:pStyle w:val="Heading3"/>
      </w:pPr>
      <w:r>
        <w:rPr>
          <w:rFonts w:ascii="Microsoft YaHei" w:hAnsi="Microsoft YaHei" w:eastAsia="Microsoft YaHei"/>
          <w:b/>
          <w:color w:val="1F4D78"/>
          <w:sz w:val="24"/>
        </w:rPr>
        <w:t>eiscore-materials：仓储物料</w:t>
      </w:r>
    </w:p>
    <w:p>
      <w:pPr>
        <w:spacing w:after="120" w:line="276" w:lineRule="auto"/>
        <w:ind w:firstLine="403"/>
      </w:pPr>
      <w:r>
        <w:rPr>
          <w:rFonts w:ascii="Microsoft YaHei" w:hAnsi="Microsoft YaHei" w:eastAsia="Microsoft YaHei"/>
          <w:sz w:val="21"/>
        </w:rPr>
        <w:t>eiscore-materials 作为 仓储物料 前端工程，主要覆盖物料主数据、批次规则、仓库、库存入库、库存出库、库存查询和大屏。它在整体架构中的意义是：与采购、生产、销售出库和 AI 固定入库链路联系最紧密。 当前工程采用 Vite 构建，便于开发期快速热更新和生产期独立打包。对未来交付而言，该模块应继续保持与基座的路由、权限、接口客户端和主题风格一致，避免模块独立演进后出现体验割裂。</w:t>
      </w:r>
    </w:p>
    <w:p>
      <w:pPr>
        <w:spacing w:after="120" w:line="276" w:lineRule="auto"/>
        <w:ind w:firstLine="403"/>
      </w:pPr>
      <w:r>
        <w:rPr>
          <w:rFonts w:ascii="Microsoft YaHei" w:hAnsi="Microsoft YaHei" w:eastAsia="Microsoft YaHei"/>
          <w:sz w:val="21"/>
        </w:rPr>
        <w:t>从数据关系看，仓储物料 并不是孤立页面。它的数据通常来自 PostgreSQL 中的固定 Schema、动态表或 RPC 函数，同时又会反向影响工作流、统计驾驶舱和 AI 语义上下文。模块内部新增字段、状态、枚举或统计口径时，应同步考虑 app_center 配置、语义元数据、权限策略和自动化测试，防止页面可用但平台层不可理解。</w:t>
      </w:r>
    </w:p>
    <w:p>
      <w:pPr>
        <w:pStyle w:val="Heading3"/>
      </w:pPr>
      <w:r>
        <w:rPr>
          <w:rFonts w:ascii="Microsoft YaHei" w:hAnsi="Microsoft YaHei" w:eastAsia="Microsoft YaHei"/>
          <w:b/>
          <w:color w:val="1F4D78"/>
          <w:sz w:val="24"/>
        </w:rPr>
        <w:t>eiscore-apps：应用中心</w:t>
      </w:r>
    </w:p>
    <w:p>
      <w:pPr>
        <w:spacing w:after="120" w:line="276" w:lineRule="auto"/>
        <w:ind w:firstLine="403"/>
      </w:pPr>
      <w:r>
        <w:rPr>
          <w:rFonts w:ascii="Microsoft YaHei" w:hAnsi="Microsoft YaHei" w:eastAsia="Microsoft YaHei"/>
          <w:sz w:val="21"/>
        </w:rPr>
        <w:t>eiscore-apps 作为 应用中心 前端工程，主要覆盖动态应用、工作流设计器、审批中心、应用运行时、本体关系工作台。它在整体架构中的意义是：系统平台化能力核心，承接动态表和语义治理。 当前工程采用 Vite 构建，便于开发期快速热更新和生产期独立打包。对未来交付而言，该模块应继续保持与基座的路由、权限、接口客户端和主题风格一致，避免模块独立演进后出现体验割裂。</w:t>
      </w:r>
    </w:p>
    <w:p>
      <w:pPr>
        <w:spacing w:after="120" w:line="276" w:lineRule="auto"/>
        <w:ind w:firstLine="403"/>
      </w:pPr>
      <w:r>
        <w:rPr>
          <w:rFonts w:ascii="Microsoft YaHei" w:hAnsi="Microsoft YaHei" w:eastAsia="Microsoft YaHei"/>
          <w:sz w:val="21"/>
        </w:rPr>
        <w:t>从数据关系看，应用中心 并不是孤立页面。它的数据通常来自 PostgreSQL 中的固定 Schema、动态表或 RPC 函数，同时又会反向影响工作流、统计驾驶舱和 AI 语义上下文。模块内部新增字段、状态、枚举或统计口径时，应同步考虑 app_center 配置、语义元数据、权限策略和自动化测试，防止页面可用但平台层不可理解。</w:t>
      </w:r>
    </w:p>
    <w:p>
      <w:pPr>
        <w:pStyle w:val="Heading3"/>
      </w:pPr>
      <w:r>
        <w:rPr>
          <w:rFonts w:ascii="Microsoft YaHei" w:hAnsi="Microsoft YaHei" w:eastAsia="Microsoft YaHei"/>
          <w:b/>
          <w:color w:val="1F4D78"/>
          <w:sz w:val="24"/>
        </w:rPr>
        <w:t>eiscore-mobile：移动端</w:t>
      </w:r>
    </w:p>
    <w:p>
      <w:pPr>
        <w:spacing w:after="120" w:line="276" w:lineRule="auto"/>
        <w:ind w:firstLine="403"/>
      </w:pPr>
      <w:r>
        <w:rPr>
          <w:rFonts w:ascii="Microsoft YaHei" w:hAnsi="Microsoft YaHei" w:eastAsia="Microsoft YaHei"/>
          <w:sz w:val="21"/>
        </w:rPr>
        <w:t>eiscore-mobile 作为 移动端 前端工程，主要覆盖移动工作台、库存盘点、扫码出入库、标签打印、移动助手。它在整体架构中的意义是：服务现场轻量作业，后续可承接采集端以外的移动数据入口。 当前工程采用 Vite 构建，便于开发期快速热更新和生产期独立打包。对未来交付而言，该模块应继续保持与基座的路由、权限、接口客户端和主题风格一致，避免模块独立演进后出现体验割裂。</w:t>
      </w:r>
    </w:p>
    <w:p>
      <w:pPr>
        <w:spacing w:after="120" w:line="276" w:lineRule="auto"/>
        <w:ind w:firstLine="403"/>
      </w:pPr>
      <w:r>
        <w:rPr>
          <w:rFonts w:ascii="Microsoft YaHei" w:hAnsi="Microsoft YaHei" w:eastAsia="Microsoft YaHei"/>
          <w:sz w:val="21"/>
        </w:rPr>
        <w:t>从数据关系看，移动端 并不是孤立页面。它的数据通常来自 PostgreSQL 中的固定 Schema、动态表或 RPC 函数，同时又会反向影响工作流、统计驾驶舱和 AI 语义上下文。模块内部新增字段、状态、枚举或统计口径时，应同步考虑 app_center 配置、语义元数据、权限策略和自动化测试，防止页面可用但平台层不可理解。</w:t>
      </w:r>
    </w:p>
    <w:p>
      <w:pPr>
        <w:pStyle w:val="Heading3"/>
      </w:pPr>
      <w:r>
        <w:rPr>
          <w:rFonts w:ascii="Microsoft YaHei" w:hAnsi="Microsoft YaHei" w:eastAsia="Microsoft YaHei"/>
          <w:b/>
          <w:color w:val="1F4D78"/>
          <w:sz w:val="24"/>
        </w:rPr>
        <w:t>eiscore-sales：销售管理</w:t>
      </w:r>
    </w:p>
    <w:p>
      <w:pPr>
        <w:spacing w:after="120" w:line="276" w:lineRule="auto"/>
        <w:ind w:firstLine="403"/>
      </w:pPr>
      <w:r>
        <w:rPr>
          <w:rFonts w:ascii="Microsoft YaHei" w:hAnsi="Microsoft YaHei" w:eastAsia="Microsoft YaHei"/>
          <w:sz w:val="21"/>
        </w:rPr>
        <w:t>eiscore-sales 作为 销售管理 前端工程，主要覆盖客户档案、销售商机、销售订单、出货申请、回款记录、销售驾驶舱。它在整体架构中的意义是：从商机到订单再到出货和回款的前端业务链路。 当前工程采用 Vite 构建，便于开发期快速热更新和生产期独立打包。对未来交付而言，该模块应继续保持与基座的路由、权限、接口客户端和主题风格一致，避免模块独立演进后出现体验割裂。</w:t>
      </w:r>
    </w:p>
    <w:p>
      <w:pPr>
        <w:spacing w:after="120" w:line="276" w:lineRule="auto"/>
        <w:ind w:firstLine="403"/>
      </w:pPr>
      <w:r>
        <w:rPr>
          <w:rFonts w:ascii="Microsoft YaHei" w:hAnsi="Microsoft YaHei" w:eastAsia="Microsoft YaHei"/>
          <w:sz w:val="21"/>
        </w:rPr>
        <w:t>从数据关系看，销售管理 并不是孤立页面。它的数据通常来自 PostgreSQL 中的固定 Schema、动态表或 RPC 函数，同时又会反向影响工作流、统计驾驶舱和 AI 语义上下文。模块内部新增字段、状态、枚举或统计口径时，应同步考虑 app_center 配置、语义元数据、权限策略和自动化测试，防止页面可用但平台层不可理解。</w:t>
      </w:r>
    </w:p>
    <w:p>
      <w:pPr>
        <w:pStyle w:val="Heading3"/>
      </w:pPr>
      <w:r>
        <w:rPr>
          <w:rFonts w:ascii="Microsoft YaHei" w:hAnsi="Microsoft YaHei" w:eastAsia="Microsoft YaHei"/>
          <w:b/>
          <w:color w:val="1F4D78"/>
          <w:sz w:val="24"/>
        </w:rPr>
        <w:t>eiscore-purchase：采购管理</w:t>
      </w:r>
    </w:p>
    <w:p>
      <w:pPr>
        <w:spacing w:after="120" w:line="276" w:lineRule="auto"/>
        <w:ind w:firstLine="403"/>
      </w:pPr>
      <w:r>
        <w:rPr>
          <w:rFonts w:ascii="Microsoft YaHei" w:hAnsi="Microsoft YaHei" w:eastAsia="Microsoft YaHei"/>
          <w:sz w:val="21"/>
        </w:rPr>
        <w:t>eiscore-purchase 作为 采购管理 前端工程，主要覆盖供应商档案、采购需求、采购订单、到货跟踪、采购驾驶舱。它在整体架构中的意义是：连接生产需求、库存补货和入库验收。 当前工程采用 Vite 构建，便于开发期快速热更新和生产期独立打包。对未来交付而言，该模块应继续保持与基座的路由、权限、接口客户端和主题风格一致，避免模块独立演进后出现体验割裂。</w:t>
      </w:r>
    </w:p>
    <w:p>
      <w:pPr>
        <w:spacing w:after="120" w:line="276" w:lineRule="auto"/>
        <w:ind w:firstLine="403"/>
      </w:pPr>
      <w:r>
        <w:rPr>
          <w:rFonts w:ascii="Microsoft YaHei" w:hAnsi="Microsoft YaHei" w:eastAsia="Microsoft YaHei"/>
          <w:sz w:val="21"/>
        </w:rPr>
        <w:t>从数据关系看，采购管理 并不是孤立页面。它的数据通常来自 PostgreSQL 中的固定 Schema、动态表或 RPC 函数，同时又会反向影响工作流、统计驾驶舱和 AI 语义上下文。模块内部新增字段、状态、枚举或统计口径时，应同步考虑 app_center 配置、语义元数据、权限策略和自动化测试，防止页面可用但平台层不可理解。</w:t>
      </w:r>
    </w:p>
    <w:p>
      <w:pPr>
        <w:pStyle w:val="Heading3"/>
      </w:pPr>
      <w:r>
        <w:rPr>
          <w:rFonts w:ascii="Microsoft YaHei" w:hAnsi="Microsoft YaHei" w:eastAsia="Microsoft YaHei"/>
          <w:b/>
          <w:color w:val="1F4D78"/>
          <w:sz w:val="24"/>
        </w:rPr>
        <w:t>eiscore-production：生产管理</w:t>
      </w:r>
    </w:p>
    <w:p>
      <w:pPr>
        <w:spacing w:after="120" w:line="276" w:lineRule="auto"/>
        <w:ind w:firstLine="403"/>
      </w:pPr>
      <w:r>
        <w:rPr>
          <w:rFonts w:ascii="Microsoft YaHei" w:hAnsi="Microsoft YaHei" w:eastAsia="Microsoft YaHei"/>
          <w:sz w:val="21"/>
        </w:rPr>
        <w:t>eiscore-production 作为 生产管理 前端工程，主要覆盖产品配方/BOM、生产建议、生产工单、领料齐套、生产总览。它在整体架构中的意义是：承接销售需求和物料库存，体现制造企业核心执行过程。 当前工程采用 Vite 构建，便于开发期快速热更新和生产期独立打包。对未来交付而言，该模块应继续保持与基座的路由、权限、接口客户端和主题风格一致，避免模块独立演进后出现体验割裂。</w:t>
      </w:r>
    </w:p>
    <w:p>
      <w:pPr>
        <w:spacing w:after="120" w:line="276" w:lineRule="auto"/>
        <w:ind w:firstLine="403"/>
      </w:pPr>
      <w:r>
        <w:rPr>
          <w:rFonts w:ascii="Microsoft YaHei" w:hAnsi="Microsoft YaHei" w:eastAsia="Microsoft YaHei"/>
          <w:sz w:val="21"/>
        </w:rPr>
        <w:t>从数据关系看，生产管理 并不是孤立页面。它的数据通常来自 PostgreSQL 中的固定 Schema、动态表或 RPC 函数，同时又会反向影响工作流、统计驾驶舱和 AI 语义上下文。模块内部新增字段、状态、枚举或统计口径时，应同步考虑 app_center 配置、语义元数据、权限策略和自动化测试，防止页面可用但平台层不可理解。</w:t>
      </w:r>
    </w:p>
    <w:p>
      <w:pPr>
        <w:pStyle w:val="Heading3"/>
      </w:pPr>
      <w:r>
        <w:rPr>
          <w:rFonts w:ascii="Microsoft YaHei" w:hAnsi="Microsoft YaHei" w:eastAsia="Microsoft YaHei"/>
          <w:b/>
          <w:color w:val="1F4D78"/>
          <w:sz w:val="24"/>
        </w:rPr>
        <w:t>eiscore-quality：质量管理</w:t>
      </w:r>
    </w:p>
    <w:p>
      <w:pPr>
        <w:spacing w:after="120" w:line="276" w:lineRule="auto"/>
        <w:ind w:firstLine="403"/>
      </w:pPr>
      <w:r>
        <w:rPr>
          <w:rFonts w:ascii="Microsoft YaHei" w:hAnsi="Microsoft YaHei" w:eastAsia="Microsoft YaHei"/>
          <w:sz w:val="21"/>
        </w:rPr>
        <w:t>eiscore-quality 作为 质量管理 前端工程，主要覆盖检验台账、生产检验、质量异常 NCR、整改任务、质量审核和检验标准。它在整体架构中的意义是：支撑来料、过程、成品和异常闭环。 当前工程采用 Vite 构建，便于开发期快速热更新和生产期独立打包。对未来交付而言，该模块应继续保持与基座的路由、权限、接口客户端和主题风格一致，避免模块独立演进后出现体验割裂。</w:t>
      </w:r>
    </w:p>
    <w:p>
      <w:pPr>
        <w:spacing w:after="120" w:line="276" w:lineRule="auto"/>
        <w:ind w:firstLine="403"/>
      </w:pPr>
      <w:r>
        <w:rPr>
          <w:rFonts w:ascii="Microsoft YaHei" w:hAnsi="Microsoft YaHei" w:eastAsia="Microsoft YaHei"/>
          <w:sz w:val="21"/>
        </w:rPr>
        <w:t>从数据关系看，质量管理 并不是孤立页面。它的数据通常来自 PostgreSQL 中的固定 Schema、动态表或 RPC 函数，同时又会反向影响工作流、统计驾驶舱和 AI 语义上下文。模块内部新增字段、状态、枚举或统计口径时，应同步考虑 app_center 配置、语义元数据、权限策略和自动化测试，防止页面可用但平台层不可理解。</w:t>
      </w:r>
    </w:p>
    <w:p>
      <w:pPr>
        <w:pStyle w:val="Heading3"/>
      </w:pPr>
      <w:r>
        <w:rPr>
          <w:rFonts w:ascii="Microsoft YaHei" w:hAnsi="Microsoft YaHei" w:eastAsia="Microsoft YaHei"/>
          <w:b/>
          <w:color w:val="1F4D78"/>
          <w:sz w:val="24"/>
        </w:rPr>
        <w:t>eiscore-equipment：设备管理</w:t>
      </w:r>
    </w:p>
    <w:p>
      <w:pPr>
        <w:spacing w:after="120" w:line="276" w:lineRule="auto"/>
        <w:ind w:firstLine="403"/>
      </w:pPr>
      <w:r>
        <w:rPr>
          <w:rFonts w:ascii="Microsoft YaHei" w:hAnsi="Microsoft YaHei" w:eastAsia="Microsoft YaHei"/>
          <w:sz w:val="21"/>
        </w:rPr>
        <w:t>eiscore-equipment 作为 设备管理 前端工程，主要覆盖设备台账、点检记录、设备异常、维保工单、巡检计划和保养标准。它在整体架构中的意义是：保障生产设备可用性，适合与移动端和智能收单结合。 当前工程采用 Vite 构建，便于开发期快速热更新和生产期独立打包。对未来交付而言，该模块应继续保持与基座的路由、权限、接口客户端和主题风格一致，避免模块独立演进后出现体验割裂。</w:t>
      </w:r>
    </w:p>
    <w:p>
      <w:pPr>
        <w:spacing w:after="120" w:line="276" w:lineRule="auto"/>
        <w:ind w:firstLine="403"/>
      </w:pPr>
      <w:r>
        <w:rPr>
          <w:rFonts w:ascii="Microsoft YaHei" w:hAnsi="Microsoft YaHei" w:eastAsia="Microsoft YaHei"/>
          <w:sz w:val="21"/>
        </w:rPr>
        <w:t>从数据关系看，设备管理 并不是孤立页面。它的数据通常来自 PostgreSQL 中的固定 Schema、动态表或 RPC 函数，同时又会反向影响工作流、统计驾驶舱和 AI 语义上下文。模块内部新增字段、状态、枚举或统计口径时，应同步考虑 app_center 配置、语义元数据、权限策略和自动化测试，防止页面可用但平台层不可理解。</w:t>
      </w:r>
    </w:p>
    <w:p>
      <w:pPr>
        <w:pStyle w:val="Heading3"/>
      </w:pPr>
      <w:r>
        <w:rPr>
          <w:rFonts w:ascii="Microsoft YaHei" w:hAnsi="Microsoft YaHei" w:eastAsia="Microsoft YaHei"/>
          <w:b/>
          <w:color w:val="1F4D78"/>
          <w:sz w:val="24"/>
        </w:rPr>
        <w:t>eiscore-decision：决策支持</w:t>
      </w:r>
    </w:p>
    <w:p>
      <w:pPr>
        <w:spacing w:after="120" w:line="276" w:lineRule="auto"/>
        <w:ind w:firstLine="403"/>
      </w:pPr>
      <w:r>
        <w:rPr>
          <w:rFonts w:ascii="Microsoft YaHei" w:hAnsi="Microsoft YaHei" w:eastAsia="Microsoft YaHei"/>
          <w:sz w:val="21"/>
        </w:rPr>
        <w:t>eiscore-decision 作为 决策支持 前端工程，主要覆盖驾驶舱卡片、统计指标、跨模块数据分析。它在整体架构中的意义是：面向管理层的综合观察入口，依赖底层数据质量。 当前工程采用 Vite 构建，便于开发期快速热更新和生产期独立打包。对未来交付而言，该模块应继续保持与基座的路由、权限、接口客户端和主题风格一致，避免模块独立演进后出现体验割裂。</w:t>
      </w:r>
    </w:p>
    <w:p>
      <w:pPr>
        <w:spacing w:after="120" w:line="276" w:lineRule="auto"/>
        <w:ind w:firstLine="403"/>
      </w:pPr>
      <w:r>
        <w:rPr>
          <w:rFonts w:ascii="Microsoft YaHei" w:hAnsi="Microsoft YaHei" w:eastAsia="Microsoft YaHei"/>
          <w:sz w:val="21"/>
        </w:rPr>
        <w:t>从数据关系看，决策支持 并不是孤立页面。它的数据通常来自 PostgreSQL 中的固定 Schema、动态表或 RPC 函数，同时又会反向影响工作流、统计驾驶舱和 AI 语义上下文。模块内部新增字段、状态、枚举或统计口径时，应同步考虑 app_center 配置、语义元数据、权限策略和自动化测试，防止页面可用但平台层不可理解。</w:t>
      </w:r>
    </w:p>
    <w:p>
      <w:pPr>
        <w:pStyle w:val="Heading1"/>
      </w:pPr>
      <w:r>
        <w:rPr>
          <w:rFonts w:ascii="Microsoft YaHei" w:hAnsi="Microsoft YaHei" w:eastAsia="Microsoft YaHei"/>
          <w:b/>
          <w:color w:val="2E74B5"/>
          <w:sz w:val="32"/>
        </w:rPr>
        <w:t>6 后端、数据库与 API 架构</w:t>
      </w:r>
    </w:p>
    <w:p>
      <w:pPr>
        <w:spacing w:after="120" w:line="276" w:lineRule="auto"/>
        <w:ind w:firstLine="403"/>
      </w:pPr>
      <w:r>
        <w:rPr>
          <w:rFonts w:ascii="Microsoft YaHei" w:hAnsi="Microsoft YaHei" w:eastAsia="Microsoft YaHei"/>
          <w:sz w:val="21"/>
        </w:rPr>
        <w:t>EISCore 的后端架构并不是传统的 Java 或 Node 单体应用，而是以 PostgreSQL 和 PostgREST 为中心。PostgREST 根据数据库 Schema 自动暴露 REST API，前端可以通过表、视图和 RPC 与数据库交互。这个选择的最大优势是开发速度快、接口形态统一、数据权限可以下沉到数据库层，适合当前一百人以内、业务规则变化快、需要快速搭建应用的系统阶段。</w:t>
      </w:r>
    </w:p>
    <w:p>
      <w:pPr>
        <w:spacing w:after="120" w:line="276" w:lineRule="auto"/>
        <w:ind w:firstLine="403"/>
      </w:pPr>
      <w:r>
        <w:rPr>
          <w:rFonts w:ascii="Microsoft YaHei" w:hAnsi="Microsoft YaHei" w:eastAsia="Microsoft YaHei"/>
          <w:sz w:val="21"/>
        </w:rPr>
        <w:t>数据库 Schema 分区是系统边界的重要体现。public 保存基础平台、语义、本体、文档采集等跨模块对象；hr 保存人事组织；scm 保存物料、仓库、库存和批次；app_center 保存应用中心、发布路由、应用配置和执行日志；workflow 保存流程定义、流程实例、任务分派和事件；app_data 保存动态业务应用数据。该分区方式让系统既能保留固定业务表，也能通过动态表支持企业差异化扩展。</w:t>
      </w:r>
    </w:p>
    <w:p>
      <w:pPr>
        <w:spacing w:after="120" w:line="276" w:lineRule="auto"/>
        <w:ind w:firstLine="403"/>
      </w:pPr>
      <w:r>
        <w:rPr>
          <w:rFonts w:ascii="Microsoft YaHei" w:hAnsi="Microsoft YaHei" w:eastAsia="Microsoft YaHei"/>
          <w:sz w:val="21"/>
        </w:rPr>
        <w:t>SQL 脚本体现了系统的真实演进历史。除了基础 schema，还有 inventory_schema、app_center_schema、workflow_runtime_patch、workflow_policy_v2、lightweight_ontology_runtime、ontology_reasoning_engine、smart_bi_action_closure、ai_document_intake_mvp、document_intake_rls_hardening 等补丁。对架构师来说，这是一把双刃剑：SQL patch 让能力快速落地，但如果缺少迁移版本管理和执行记录，长期会增加环境差异风险。</w:t>
      </w:r>
    </w:p>
    <w:p>
      <w:pPr>
        <w:spacing w:after="120" w:line="276" w:lineRule="auto"/>
        <w:ind w:firstLine="403"/>
      </w:pPr>
      <w:r>
        <w:rPr>
          <w:rFonts w:ascii="Microsoft YaHei" w:hAnsi="Microsoft YaHei" w:eastAsia="Microsoft YaHei"/>
          <w:sz w:val="21"/>
        </w:rPr>
        <w:t>PostgreSQL 函数承担了不少业务逻辑。例如库存入库、出库、调整、批次号生成、工作流启动和流转、语义上下文查询、网格汇总、Smart BI 行动闭环等。把这些规则放在数据库里，有利于统一从前端、Agent、自动入单和脚本调用时的业务一致性。但同时也要求数据库代码需要测试、审计和版本控制，不能只把它当作“存数据的地方”。</w:t>
      </w:r>
    </w:p>
    <w:p>
      <w:pPr>
        <w:spacing w:after="120" w:line="276" w:lineRule="auto"/>
        <w:ind w:firstLine="403"/>
      </w:pPr>
      <w:r>
        <w:rPr>
          <w:rFonts w:ascii="Microsoft YaHei" w:hAnsi="Microsoft YaHei" w:eastAsia="Microsoft YaHei"/>
          <w:sz w:val="21"/>
        </w:rPr>
        <w:t>PostgREST 的匿名角色、JWT 密钥和 Schema 暴露配置使权限模型与数据库角色紧密相关。系统通过 web_anon、JWT、RLS 策略和服务端校验共同控制访问。对于动态应用和 AI 自动入单来说，权限边界尤其重要：Agent 不能因为拥有服务端能力就绕过业务权限，自动入库也应尽量调用已有业务 RPC 或受控 API，而不是直接插入绕过校验的表数据。</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340"/>
        <w:gridCol w:w="2340"/>
        <w:gridCol w:w="2340"/>
        <w:gridCol w:w="2340"/>
      </w:tblGrid>
      <w:tr>
        <w:tc>
          <w:tcPr>
            <w:tcW w:type="dxa" w:w="1584"/>
            <w:shd w:fill="E8EEF5"/>
            <w:vAlign w:val="center"/>
          </w:tcPr>
          <w:p>
            <w:pPr>
              <w:jc w:val="center"/>
            </w:pPr>
            <w:r>
              <w:rPr>
                <w:rFonts w:ascii="Microsoft YaHei" w:hAnsi="Microsoft YaHei" w:eastAsia="Microsoft YaHei"/>
                <w:b/>
                <w:sz w:val="18"/>
              </w:rPr>
              <w:t>Schema</w:t>
            </w:r>
          </w:p>
        </w:tc>
        <w:tc>
          <w:tcPr>
            <w:tcW w:type="dxa" w:w="2376"/>
            <w:shd w:fill="E8EEF5"/>
            <w:vAlign w:val="center"/>
          </w:tcPr>
          <w:p>
            <w:pPr>
              <w:jc w:val="center"/>
            </w:pPr>
            <w:r>
              <w:rPr>
                <w:rFonts w:ascii="Microsoft YaHei" w:hAnsi="Microsoft YaHei" w:eastAsia="Microsoft YaHei"/>
                <w:b/>
                <w:sz w:val="18"/>
              </w:rPr>
              <w:t>主要职责</w:t>
            </w:r>
          </w:p>
        </w:tc>
        <w:tc>
          <w:tcPr>
            <w:tcW w:type="dxa" w:w="3096"/>
            <w:shd w:fill="E8EEF5"/>
            <w:vAlign w:val="center"/>
          </w:tcPr>
          <w:p>
            <w:pPr>
              <w:jc w:val="center"/>
            </w:pPr>
            <w:r>
              <w:rPr>
                <w:rFonts w:ascii="Microsoft YaHei" w:hAnsi="Microsoft YaHei" w:eastAsia="Microsoft YaHei"/>
                <w:b/>
                <w:sz w:val="18"/>
              </w:rPr>
              <w:t>代表对象或脚本</w:t>
            </w:r>
          </w:p>
        </w:tc>
        <w:tc>
          <w:tcPr>
            <w:tcW w:type="dxa" w:w="2304"/>
            <w:shd w:fill="E8EEF5"/>
            <w:vAlign w:val="center"/>
          </w:tcPr>
          <w:p>
            <w:pPr>
              <w:jc w:val="center"/>
            </w:pPr>
            <w:r>
              <w:rPr>
                <w:rFonts w:ascii="Microsoft YaHei" w:hAnsi="Microsoft YaHei" w:eastAsia="Microsoft YaHei"/>
                <w:b/>
                <w:sz w:val="18"/>
              </w:rPr>
              <w:t>治理要点</w:t>
            </w:r>
          </w:p>
        </w:tc>
      </w:tr>
      <w:tr>
        <w:tc>
          <w:tcPr>
            <w:tcW w:type="dxa" w:w="1584"/>
            <w:vAlign w:val="center"/>
          </w:tcPr>
          <w:p>
            <w:pPr>
              <w:spacing w:after="40"/>
            </w:pPr>
            <w:r>
              <w:rPr>
                <w:rFonts w:ascii="Microsoft YaHei" w:hAnsi="Microsoft YaHei" w:eastAsia="Microsoft YaHei"/>
                <w:sz w:val="18"/>
              </w:rPr>
              <w:t>public</w:t>
            </w:r>
          </w:p>
        </w:tc>
        <w:tc>
          <w:tcPr>
            <w:tcW w:type="dxa" w:w="2376"/>
            <w:vAlign w:val="center"/>
          </w:tcPr>
          <w:p>
            <w:pPr>
              <w:spacing w:after="40"/>
            </w:pPr>
            <w:r>
              <w:rPr>
                <w:rFonts w:ascii="Microsoft YaHei" w:hAnsi="Microsoft YaHei" w:eastAsia="Microsoft YaHei"/>
                <w:sz w:val="18"/>
              </w:rPr>
              <w:t>基础平台、用户、语义、本体、AI资料采集和日志</w:t>
            </w:r>
          </w:p>
        </w:tc>
        <w:tc>
          <w:tcPr>
            <w:tcW w:type="dxa" w:w="3096"/>
            <w:vAlign w:val="center"/>
          </w:tcPr>
          <w:p>
            <w:pPr>
              <w:spacing w:after="40"/>
            </w:pPr>
            <w:r>
              <w:rPr>
                <w:rFonts w:ascii="Microsoft YaHei" w:hAnsi="Microsoft YaHei" w:eastAsia="Microsoft YaHei"/>
                <w:sz w:val="18"/>
              </w:rPr>
              <w:t>patch_lightweight_ontology_runtime、patch_ai_document_intake_mvp</w:t>
            </w:r>
          </w:p>
        </w:tc>
        <w:tc>
          <w:tcPr>
            <w:tcW w:type="dxa" w:w="2304"/>
            <w:vAlign w:val="center"/>
          </w:tcPr>
          <w:p>
            <w:pPr>
              <w:spacing w:after="40"/>
            </w:pPr>
            <w:r>
              <w:rPr>
                <w:rFonts w:ascii="Microsoft YaHei" w:hAnsi="Microsoft YaHei" w:eastAsia="Microsoft YaHei"/>
                <w:sz w:val="18"/>
              </w:rPr>
              <w:t>跨模块对象多，必须控制命名和 RLS</w:t>
            </w:r>
          </w:p>
        </w:tc>
      </w:tr>
      <w:tr>
        <w:tc>
          <w:tcPr>
            <w:tcW w:type="dxa" w:w="1584"/>
            <w:vAlign w:val="center"/>
          </w:tcPr>
          <w:p>
            <w:pPr>
              <w:spacing w:after="40"/>
            </w:pPr>
            <w:r>
              <w:rPr>
                <w:rFonts w:ascii="Microsoft YaHei" w:hAnsi="Microsoft YaHei" w:eastAsia="Microsoft YaHei"/>
                <w:sz w:val="18"/>
              </w:rPr>
              <w:t>hr</w:t>
            </w:r>
          </w:p>
        </w:tc>
        <w:tc>
          <w:tcPr>
            <w:tcW w:type="dxa" w:w="2376"/>
            <w:vAlign w:val="center"/>
          </w:tcPr>
          <w:p>
            <w:pPr>
              <w:spacing w:after="40"/>
            </w:pPr>
            <w:r>
              <w:rPr>
                <w:rFonts w:ascii="Microsoft YaHei" w:hAnsi="Microsoft YaHei" w:eastAsia="Microsoft YaHei"/>
                <w:sz w:val="18"/>
              </w:rPr>
              <w:t>组织、人事、岗位、用户归属</w:t>
            </w:r>
          </w:p>
        </w:tc>
        <w:tc>
          <w:tcPr>
            <w:tcW w:type="dxa" w:w="3096"/>
            <w:vAlign w:val="center"/>
          </w:tcPr>
          <w:p>
            <w:pPr>
              <w:spacing w:after="40"/>
            </w:pPr>
            <w:r>
              <w:rPr>
                <w:rFonts w:ascii="Microsoft YaHei" w:hAnsi="Microsoft YaHei" w:eastAsia="Microsoft YaHei"/>
                <w:sz w:val="18"/>
              </w:rPr>
              <w:t>人事模块相关表</w:t>
            </w:r>
          </w:p>
        </w:tc>
        <w:tc>
          <w:tcPr>
            <w:tcW w:type="dxa" w:w="2304"/>
            <w:vAlign w:val="center"/>
          </w:tcPr>
          <w:p>
            <w:pPr>
              <w:spacing w:after="40"/>
            </w:pPr>
            <w:r>
              <w:rPr>
                <w:rFonts w:ascii="Microsoft YaHei" w:hAnsi="Microsoft YaHei" w:eastAsia="Microsoft YaHei"/>
                <w:sz w:val="18"/>
              </w:rPr>
              <w:t>为权限、上传人、流程分派提供身份基础</w:t>
            </w:r>
          </w:p>
        </w:tc>
      </w:tr>
      <w:tr>
        <w:tc>
          <w:tcPr>
            <w:tcW w:type="dxa" w:w="1584"/>
            <w:vAlign w:val="center"/>
          </w:tcPr>
          <w:p>
            <w:pPr>
              <w:spacing w:after="40"/>
            </w:pPr>
            <w:r>
              <w:rPr>
                <w:rFonts w:ascii="Microsoft YaHei" w:hAnsi="Microsoft YaHei" w:eastAsia="Microsoft YaHei"/>
                <w:sz w:val="18"/>
              </w:rPr>
              <w:t>scm</w:t>
            </w:r>
          </w:p>
        </w:tc>
        <w:tc>
          <w:tcPr>
            <w:tcW w:type="dxa" w:w="2376"/>
            <w:vAlign w:val="center"/>
          </w:tcPr>
          <w:p>
            <w:pPr>
              <w:spacing w:after="40"/>
            </w:pPr>
            <w:r>
              <w:rPr>
                <w:rFonts w:ascii="Microsoft YaHei" w:hAnsi="Microsoft YaHei" w:eastAsia="Microsoft YaHei"/>
                <w:sz w:val="18"/>
              </w:rPr>
              <w:t>物料、仓储、库存、批次</w:t>
            </w:r>
          </w:p>
        </w:tc>
        <w:tc>
          <w:tcPr>
            <w:tcW w:type="dxa" w:w="3096"/>
            <w:vAlign w:val="center"/>
          </w:tcPr>
          <w:p>
            <w:pPr>
              <w:spacing w:after="40"/>
            </w:pPr>
            <w:r>
              <w:rPr>
                <w:rFonts w:ascii="Microsoft YaHei" w:hAnsi="Microsoft YaHei" w:eastAsia="Microsoft YaHei"/>
                <w:sz w:val="18"/>
              </w:rPr>
              <w:t>inventory_schema、material_bom_schema</w:t>
            </w:r>
          </w:p>
        </w:tc>
        <w:tc>
          <w:tcPr>
            <w:tcW w:type="dxa" w:w="2304"/>
            <w:vAlign w:val="center"/>
          </w:tcPr>
          <w:p>
            <w:pPr>
              <w:spacing w:after="40"/>
            </w:pPr>
            <w:r>
              <w:rPr>
                <w:rFonts w:ascii="Microsoft YaHei" w:hAnsi="Microsoft YaHei" w:eastAsia="Microsoft YaHei"/>
                <w:sz w:val="18"/>
              </w:rPr>
              <w:t>库存 RPC 必须保持幂等和审计</w:t>
            </w:r>
          </w:p>
        </w:tc>
      </w:tr>
      <w:tr>
        <w:tc>
          <w:tcPr>
            <w:tcW w:type="dxa" w:w="1584"/>
            <w:vAlign w:val="center"/>
          </w:tcPr>
          <w:p>
            <w:pPr>
              <w:spacing w:after="40"/>
            </w:pPr>
            <w:r>
              <w:rPr>
                <w:rFonts w:ascii="Microsoft YaHei" w:hAnsi="Microsoft YaHei" w:eastAsia="Microsoft YaHei"/>
                <w:sz w:val="18"/>
              </w:rPr>
              <w:t>app_center</w:t>
            </w:r>
          </w:p>
        </w:tc>
        <w:tc>
          <w:tcPr>
            <w:tcW w:type="dxa" w:w="2376"/>
            <w:vAlign w:val="center"/>
          </w:tcPr>
          <w:p>
            <w:pPr>
              <w:spacing w:after="40"/>
            </w:pPr>
            <w:r>
              <w:rPr>
                <w:rFonts w:ascii="Microsoft YaHei" w:hAnsi="Microsoft YaHei" w:eastAsia="Microsoft YaHei"/>
                <w:sz w:val="18"/>
              </w:rPr>
              <w:t>应用中心、动态应用、发布路由、执行日志</w:t>
            </w:r>
          </w:p>
        </w:tc>
        <w:tc>
          <w:tcPr>
            <w:tcW w:type="dxa" w:w="3096"/>
            <w:vAlign w:val="center"/>
          </w:tcPr>
          <w:p>
            <w:pPr>
              <w:spacing w:after="40"/>
            </w:pPr>
            <w:r>
              <w:rPr>
                <w:rFonts w:ascii="Microsoft YaHei" w:hAnsi="Microsoft YaHei" w:eastAsia="Microsoft YaHei"/>
                <w:sz w:val="18"/>
              </w:rPr>
              <w:t>app_center_schema、operation_logs</w:t>
            </w:r>
          </w:p>
        </w:tc>
        <w:tc>
          <w:tcPr>
            <w:tcW w:type="dxa" w:w="2304"/>
            <w:vAlign w:val="center"/>
          </w:tcPr>
          <w:p>
            <w:pPr>
              <w:spacing w:after="40"/>
            </w:pPr>
            <w:r>
              <w:rPr>
                <w:rFonts w:ascii="Microsoft YaHei" w:hAnsi="Microsoft YaHei" w:eastAsia="Microsoft YaHei"/>
                <w:sz w:val="18"/>
              </w:rPr>
              <w:t>动态能力核心，配置变更要留痕</w:t>
            </w:r>
          </w:p>
        </w:tc>
      </w:tr>
      <w:tr>
        <w:tc>
          <w:tcPr>
            <w:tcW w:type="dxa" w:w="1584"/>
            <w:vAlign w:val="center"/>
          </w:tcPr>
          <w:p>
            <w:pPr>
              <w:spacing w:after="40"/>
            </w:pPr>
            <w:r>
              <w:rPr>
                <w:rFonts w:ascii="Microsoft YaHei" w:hAnsi="Microsoft YaHei" w:eastAsia="Microsoft YaHei"/>
                <w:sz w:val="18"/>
              </w:rPr>
              <w:t>workflow</w:t>
            </w:r>
          </w:p>
        </w:tc>
        <w:tc>
          <w:tcPr>
            <w:tcW w:type="dxa" w:w="2376"/>
            <w:vAlign w:val="center"/>
          </w:tcPr>
          <w:p>
            <w:pPr>
              <w:spacing w:after="40"/>
            </w:pPr>
            <w:r>
              <w:rPr>
                <w:rFonts w:ascii="Microsoft YaHei" w:hAnsi="Microsoft YaHei" w:eastAsia="Microsoft YaHei"/>
                <w:sz w:val="18"/>
              </w:rPr>
              <w:t>流程定义、实例、任务、事件和策略</w:t>
            </w:r>
          </w:p>
        </w:tc>
        <w:tc>
          <w:tcPr>
            <w:tcW w:type="dxa" w:w="3096"/>
            <w:vAlign w:val="center"/>
          </w:tcPr>
          <w:p>
            <w:pPr>
              <w:spacing w:after="40"/>
            </w:pPr>
            <w:r>
              <w:rPr>
                <w:rFonts w:ascii="Microsoft YaHei" w:hAnsi="Microsoft YaHei" w:eastAsia="Microsoft YaHei"/>
                <w:sz w:val="18"/>
              </w:rPr>
              <w:t>workflow_schema、workflow_runtime_patch、policy_v2</w:t>
            </w:r>
          </w:p>
        </w:tc>
        <w:tc>
          <w:tcPr>
            <w:tcW w:type="dxa" w:w="2304"/>
            <w:vAlign w:val="center"/>
          </w:tcPr>
          <w:p>
            <w:pPr>
              <w:spacing w:after="40"/>
            </w:pPr>
            <w:r>
              <w:rPr>
                <w:rFonts w:ascii="Microsoft YaHei" w:hAnsi="Microsoft YaHei" w:eastAsia="Microsoft YaHei"/>
                <w:sz w:val="18"/>
              </w:rPr>
              <w:t>流程状态与业务单据状态要映射清楚</w:t>
            </w:r>
          </w:p>
        </w:tc>
      </w:tr>
      <w:tr>
        <w:tc>
          <w:tcPr>
            <w:tcW w:type="dxa" w:w="1584"/>
            <w:vAlign w:val="center"/>
          </w:tcPr>
          <w:p>
            <w:pPr>
              <w:spacing w:after="40"/>
            </w:pPr>
            <w:r>
              <w:rPr>
                <w:rFonts w:ascii="Microsoft YaHei" w:hAnsi="Microsoft YaHei" w:eastAsia="Microsoft YaHei"/>
                <w:sz w:val="18"/>
              </w:rPr>
              <w:t>app_data</w:t>
            </w:r>
          </w:p>
        </w:tc>
        <w:tc>
          <w:tcPr>
            <w:tcW w:type="dxa" w:w="2376"/>
            <w:vAlign w:val="center"/>
          </w:tcPr>
          <w:p>
            <w:pPr>
              <w:spacing w:after="40"/>
            </w:pPr>
            <w:r>
              <w:rPr>
                <w:rFonts w:ascii="Microsoft YaHei" w:hAnsi="Microsoft YaHei" w:eastAsia="Microsoft YaHei"/>
                <w:sz w:val="18"/>
              </w:rPr>
              <w:t>动态业务表数据</w:t>
            </w:r>
          </w:p>
        </w:tc>
        <w:tc>
          <w:tcPr>
            <w:tcW w:type="dxa" w:w="3096"/>
            <w:vAlign w:val="center"/>
          </w:tcPr>
          <w:p>
            <w:pPr>
              <w:spacing w:after="40"/>
            </w:pPr>
            <w:r>
              <w:rPr>
                <w:rFonts w:ascii="Microsoft YaHei" w:hAnsi="Microsoft YaHei" w:eastAsia="Microsoft YaHei"/>
                <w:sz w:val="18"/>
              </w:rPr>
              <w:t>app_center_data_tables</w:t>
            </w:r>
          </w:p>
        </w:tc>
        <w:tc>
          <w:tcPr>
            <w:tcW w:type="dxa" w:w="2304"/>
            <w:vAlign w:val="center"/>
          </w:tcPr>
          <w:p>
            <w:pPr>
              <w:spacing w:after="40"/>
            </w:pPr>
            <w:r>
              <w:rPr>
                <w:rFonts w:ascii="Microsoft YaHei" w:hAnsi="Microsoft YaHei" w:eastAsia="Microsoft YaHei"/>
                <w:sz w:val="18"/>
              </w:rPr>
              <w:t>字段新增和语义标注要同步</w:t>
            </w:r>
          </w:p>
        </w:tc>
      </w:tr>
    </w:tbl>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340"/>
        <w:gridCol w:w="2340"/>
        <w:gridCol w:w="2340"/>
        <w:gridCol w:w="2340"/>
      </w:tblGrid>
      <w:tr>
        <w:tc>
          <w:tcPr>
            <w:tcW w:type="dxa" w:w="1944"/>
            <w:shd w:fill="E8EEF5"/>
            <w:vAlign w:val="center"/>
          </w:tcPr>
          <w:p>
            <w:pPr>
              <w:jc w:val="center"/>
            </w:pPr>
            <w:r>
              <w:rPr>
                <w:rFonts w:ascii="Microsoft YaHei" w:hAnsi="Microsoft YaHei" w:eastAsia="Microsoft YaHei"/>
                <w:b/>
                <w:sz w:val="18"/>
              </w:rPr>
              <w:t>后端形态</w:t>
            </w:r>
          </w:p>
        </w:tc>
        <w:tc>
          <w:tcPr>
            <w:tcW w:type="dxa" w:w="2520"/>
            <w:shd w:fill="E8EEF5"/>
            <w:vAlign w:val="center"/>
          </w:tcPr>
          <w:p>
            <w:pPr>
              <w:jc w:val="center"/>
            </w:pPr>
            <w:r>
              <w:rPr>
                <w:rFonts w:ascii="Microsoft YaHei" w:hAnsi="Microsoft YaHei" w:eastAsia="Microsoft YaHei"/>
                <w:b/>
                <w:sz w:val="18"/>
              </w:rPr>
              <w:t>优点</w:t>
            </w:r>
          </w:p>
        </w:tc>
        <w:tc>
          <w:tcPr>
            <w:tcW w:type="dxa" w:w="2520"/>
            <w:shd w:fill="E8EEF5"/>
            <w:vAlign w:val="center"/>
          </w:tcPr>
          <w:p>
            <w:pPr>
              <w:jc w:val="center"/>
            </w:pPr>
            <w:r>
              <w:rPr>
                <w:rFonts w:ascii="Microsoft YaHei" w:hAnsi="Microsoft YaHei" w:eastAsia="Microsoft YaHei"/>
                <w:b/>
                <w:sz w:val="18"/>
              </w:rPr>
              <w:t>风险</w:t>
            </w:r>
          </w:p>
        </w:tc>
        <w:tc>
          <w:tcPr>
            <w:tcW w:type="dxa" w:w="2376"/>
            <w:shd w:fill="E8EEF5"/>
            <w:vAlign w:val="center"/>
          </w:tcPr>
          <w:p>
            <w:pPr>
              <w:jc w:val="center"/>
            </w:pPr>
            <w:r>
              <w:rPr>
                <w:rFonts w:ascii="Microsoft YaHei" w:hAnsi="Microsoft YaHei" w:eastAsia="Microsoft YaHei"/>
                <w:b/>
                <w:sz w:val="18"/>
              </w:rPr>
              <w:t>建议</w:t>
            </w:r>
          </w:p>
        </w:tc>
      </w:tr>
      <w:tr>
        <w:tc>
          <w:tcPr>
            <w:tcW w:type="dxa" w:w="1944"/>
            <w:vAlign w:val="center"/>
          </w:tcPr>
          <w:p>
            <w:pPr>
              <w:spacing w:after="40"/>
            </w:pPr>
            <w:r>
              <w:rPr>
                <w:rFonts w:ascii="Microsoft YaHei" w:hAnsi="Microsoft YaHei" w:eastAsia="Microsoft YaHei"/>
                <w:sz w:val="18"/>
              </w:rPr>
              <w:t>PostgREST 自动 API</w:t>
            </w:r>
          </w:p>
        </w:tc>
        <w:tc>
          <w:tcPr>
            <w:tcW w:type="dxa" w:w="2520"/>
            <w:vAlign w:val="center"/>
          </w:tcPr>
          <w:p>
            <w:pPr>
              <w:spacing w:after="40"/>
            </w:pPr>
            <w:r>
              <w:rPr>
                <w:rFonts w:ascii="Microsoft YaHei" w:hAnsi="Microsoft YaHei" w:eastAsia="Microsoft YaHei"/>
                <w:sz w:val="18"/>
              </w:rPr>
              <w:t>减少重复 CRUD、接口风格统一、贴近数据库权限</w:t>
            </w:r>
          </w:p>
        </w:tc>
        <w:tc>
          <w:tcPr>
            <w:tcW w:type="dxa" w:w="2520"/>
            <w:vAlign w:val="center"/>
          </w:tcPr>
          <w:p>
            <w:pPr>
              <w:spacing w:after="40"/>
            </w:pPr>
            <w:r>
              <w:rPr>
                <w:rFonts w:ascii="Microsoft YaHei" w:hAnsi="Microsoft YaHei" w:eastAsia="Microsoft YaHei"/>
                <w:sz w:val="18"/>
              </w:rPr>
              <w:t>复杂业务流程不适合全靠表 API 表达</w:t>
            </w:r>
          </w:p>
        </w:tc>
        <w:tc>
          <w:tcPr>
            <w:tcW w:type="dxa" w:w="2376"/>
            <w:vAlign w:val="center"/>
          </w:tcPr>
          <w:p>
            <w:pPr>
              <w:spacing w:after="40"/>
            </w:pPr>
            <w:r>
              <w:rPr>
                <w:rFonts w:ascii="Microsoft YaHei" w:hAnsi="Microsoft YaHei" w:eastAsia="Microsoft YaHei"/>
                <w:sz w:val="18"/>
              </w:rPr>
              <w:t>复杂写入通过 RPC 或 realtime 服务封装</w:t>
            </w:r>
          </w:p>
        </w:tc>
      </w:tr>
      <w:tr>
        <w:tc>
          <w:tcPr>
            <w:tcW w:type="dxa" w:w="1944"/>
            <w:vAlign w:val="center"/>
          </w:tcPr>
          <w:p>
            <w:pPr>
              <w:spacing w:after="40"/>
            </w:pPr>
            <w:r>
              <w:rPr>
                <w:rFonts w:ascii="Microsoft YaHei" w:hAnsi="Microsoft YaHei" w:eastAsia="Microsoft YaHei"/>
                <w:sz w:val="18"/>
              </w:rPr>
              <w:t>SQL 函数/RPC</w:t>
            </w:r>
          </w:p>
        </w:tc>
        <w:tc>
          <w:tcPr>
            <w:tcW w:type="dxa" w:w="2520"/>
            <w:vAlign w:val="center"/>
          </w:tcPr>
          <w:p>
            <w:pPr>
              <w:spacing w:after="40"/>
            </w:pPr>
            <w:r>
              <w:rPr>
                <w:rFonts w:ascii="Microsoft YaHei" w:hAnsi="Microsoft YaHei" w:eastAsia="Microsoft YaHei"/>
                <w:sz w:val="18"/>
              </w:rPr>
              <w:t>业务规则统一、适合多入口调用</w:t>
            </w:r>
          </w:p>
        </w:tc>
        <w:tc>
          <w:tcPr>
            <w:tcW w:type="dxa" w:w="2520"/>
            <w:vAlign w:val="center"/>
          </w:tcPr>
          <w:p>
            <w:pPr>
              <w:spacing w:after="40"/>
            </w:pPr>
            <w:r>
              <w:rPr>
                <w:rFonts w:ascii="Microsoft YaHei" w:hAnsi="Microsoft YaHei" w:eastAsia="Microsoft YaHei"/>
                <w:sz w:val="18"/>
              </w:rPr>
              <w:t>SQL 代码测试和迁移管理要求高</w:t>
            </w:r>
          </w:p>
        </w:tc>
        <w:tc>
          <w:tcPr>
            <w:tcW w:type="dxa" w:w="2376"/>
            <w:vAlign w:val="center"/>
          </w:tcPr>
          <w:p>
            <w:pPr>
              <w:spacing w:after="40"/>
            </w:pPr>
            <w:r>
              <w:rPr>
                <w:rFonts w:ascii="Microsoft YaHei" w:hAnsi="Microsoft YaHei" w:eastAsia="Microsoft YaHei"/>
                <w:sz w:val="18"/>
              </w:rPr>
              <w:t>关键函数配套回归测试和执行日志</w:t>
            </w:r>
          </w:p>
        </w:tc>
      </w:tr>
      <w:tr>
        <w:tc>
          <w:tcPr>
            <w:tcW w:type="dxa" w:w="1944"/>
            <w:vAlign w:val="center"/>
          </w:tcPr>
          <w:p>
            <w:pPr>
              <w:spacing w:after="40"/>
            </w:pPr>
            <w:r>
              <w:rPr>
                <w:rFonts w:ascii="Microsoft YaHei" w:hAnsi="Microsoft YaHei" w:eastAsia="Microsoft YaHei"/>
                <w:sz w:val="18"/>
              </w:rPr>
              <w:t>Node realtime</w:t>
            </w:r>
          </w:p>
        </w:tc>
        <w:tc>
          <w:tcPr>
            <w:tcW w:type="dxa" w:w="2520"/>
            <w:vAlign w:val="center"/>
          </w:tcPr>
          <w:p>
            <w:pPr>
              <w:spacing w:after="40"/>
            </w:pPr>
            <w:r>
              <w:rPr>
                <w:rFonts w:ascii="Microsoft YaHei" w:hAnsi="Microsoft YaHei" w:eastAsia="Microsoft YaHei"/>
                <w:sz w:val="18"/>
              </w:rPr>
              <w:t>适合 AI、文件、worker、长流程和 WebSocket</w:t>
            </w:r>
          </w:p>
        </w:tc>
        <w:tc>
          <w:tcPr>
            <w:tcW w:type="dxa" w:w="2520"/>
            <w:vAlign w:val="center"/>
          </w:tcPr>
          <w:p>
            <w:pPr>
              <w:spacing w:after="40"/>
            </w:pPr>
            <w:r>
              <w:rPr>
                <w:rFonts w:ascii="Microsoft YaHei" w:hAnsi="Microsoft YaHei" w:eastAsia="Microsoft YaHei"/>
                <w:sz w:val="18"/>
              </w:rPr>
              <w:t>职责增长后可能变成新单体</w:t>
            </w:r>
          </w:p>
        </w:tc>
        <w:tc>
          <w:tcPr>
            <w:tcW w:type="dxa" w:w="2376"/>
            <w:vAlign w:val="center"/>
          </w:tcPr>
          <w:p>
            <w:pPr>
              <w:spacing w:after="40"/>
            </w:pPr>
            <w:r>
              <w:rPr>
                <w:rFonts w:ascii="Microsoft YaHei" w:hAnsi="Microsoft YaHei" w:eastAsia="Microsoft YaHei"/>
                <w:sz w:val="18"/>
              </w:rPr>
              <w:t>按文档采集、Agent、Workflow 分层或拆服务</w:t>
            </w:r>
          </w:p>
        </w:tc>
      </w:tr>
      <w:tr>
        <w:tc>
          <w:tcPr>
            <w:tcW w:type="dxa" w:w="1944"/>
            <w:vAlign w:val="center"/>
          </w:tcPr>
          <w:p>
            <w:pPr>
              <w:spacing w:after="40"/>
            </w:pPr>
            <w:r>
              <w:rPr>
                <w:rFonts w:ascii="Microsoft YaHei" w:hAnsi="Microsoft YaHei" w:eastAsia="Microsoft YaHei"/>
                <w:sz w:val="18"/>
              </w:rPr>
              <w:t>Docker Compose</w:t>
            </w:r>
          </w:p>
        </w:tc>
        <w:tc>
          <w:tcPr>
            <w:tcW w:type="dxa" w:w="2520"/>
            <w:vAlign w:val="center"/>
          </w:tcPr>
          <w:p>
            <w:pPr>
              <w:spacing w:after="40"/>
            </w:pPr>
            <w:r>
              <w:rPr>
                <w:rFonts w:ascii="Microsoft YaHei" w:hAnsi="Microsoft YaHei" w:eastAsia="Microsoft YaHei"/>
                <w:sz w:val="18"/>
              </w:rPr>
              <w:t>本地启动简单、服务边界明确</w:t>
            </w:r>
          </w:p>
        </w:tc>
        <w:tc>
          <w:tcPr>
            <w:tcW w:type="dxa" w:w="2520"/>
            <w:vAlign w:val="center"/>
          </w:tcPr>
          <w:p>
            <w:pPr>
              <w:spacing w:after="40"/>
            </w:pPr>
            <w:r>
              <w:rPr>
                <w:rFonts w:ascii="Microsoft YaHei" w:hAnsi="Microsoft YaHei" w:eastAsia="Microsoft YaHei"/>
                <w:sz w:val="18"/>
              </w:rPr>
              <w:t>生产高可用和备份能力有限</w:t>
            </w:r>
          </w:p>
        </w:tc>
        <w:tc>
          <w:tcPr>
            <w:tcW w:type="dxa" w:w="2376"/>
            <w:vAlign w:val="center"/>
          </w:tcPr>
          <w:p>
            <w:pPr>
              <w:spacing w:after="40"/>
            </w:pPr>
            <w:r>
              <w:rPr>
                <w:rFonts w:ascii="Microsoft YaHei" w:hAnsi="Microsoft YaHei" w:eastAsia="Microsoft YaHei"/>
                <w:sz w:val="18"/>
              </w:rPr>
              <w:t>正式环境增加备份、监控、反向代理和证书治理</w:t>
            </w:r>
          </w:p>
        </w:tc>
      </w:tr>
    </w:tbl>
    <w:p/>
    <w:p>
      <w:pPr>
        <w:pStyle w:val="Heading1"/>
      </w:pPr>
      <w:r>
        <w:rPr>
          <w:rFonts w:ascii="Microsoft YaHei" w:hAnsi="Microsoft YaHei" w:eastAsia="Microsoft YaHei"/>
          <w:b/>
          <w:color w:val="2E74B5"/>
          <w:sz w:val="32"/>
        </w:rPr>
        <w:t>7 应用中心、动态应用与工作流平台</w:t>
      </w:r>
    </w:p>
    <w:p>
      <w:pPr>
        <w:spacing w:after="120" w:line="276" w:lineRule="auto"/>
        <w:ind w:firstLine="403"/>
      </w:pPr>
      <w:r>
        <w:rPr>
          <w:rFonts w:ascii="Microsoft YaHei" w:hAnsi="Microsoft YaHei" w:eastAsia="Microsoft YaHei"/>
          <w:sz w:val="21"/>
        </w:rPr>
        <w:t>应用中心是 EISCore 平台化能力的核心。普通业务系统通常将页面、菜单、字段、状态、权限和流程写在代码中，而应用中心尝试把其中一部分抽象成可配置对象：应用分类、应用卡片、发布路由、数据表、字段、运行时页面、工作流映射和执行日志。这个方向非常适合多企业、多场景交付，因为不同工厂的字段、流程和统计口径常常不同。</w:t>
      </w:r>
    </w:p>
    <w:p>
      <w:pPr>
        <w:spacing w:after="120" w:line="276" w:lineRule="auto"/>
        <w:ind w:firstLine="403"/>
      </w:pPr>
      <w:r>
        <w:rPr>
          <w:rFonts w:ascii="Microsoft YaHei" w:hAnsi="Microsoft YaHei" w:eastAsia="Microsoft YaHei"/>
          <w:sz w:val="21"/>
        </w:rPr>
        <w:t>动态应用能力与用户提到的“业务表都非常灵活，可以动态新增列以及统计”高度相关。系统需要允许管理员或实施人员在不重新开发完整模块的情况下新增业务表、字段、页面和统计卡片。AI 自动入单遇到当前表没有的字段时，按照已讨论规则先写入备注并标明来源，再由管理员决定是否转为正式字段，这正好与动态字段治理形成闭环。</w:t>
      </w:r>
    </w:p>
    <w:p>
      <w:pPr>
        <w:spacing w:after="120" w:line="276" w:lineRule="auto"/>
        <w:ind w:firstLine="403"/>
      </w:pPr>
      <w:r>
        <w:rPr>
          <w:rFonts w:ascii="Microsoft YaHei" w:hAnsi="Microsoft YaHei" w:eastAsia="Microsoft YaHei"/>
          <w:sz w:val="21"/>
        </w:rPr>
        <w:t>工作流平台承担业务单据状态流转、审批、任务分派和流程事件记录。当前 SQL 中存在 workflow_schema、workflow_runtime_patch、workflow_policy_v2、workflow_rls_patch、reject_task 等脚本，realtime 服务中也有 WorkflowEngine 和 workflow_event 通道。这说明工作流已经不只是前端展示，而是有数据库、实时事件和权限策略支撑的运行时机制。</w:t>
      </w:r>
    </w:p>
    <w:p>
      <w:pPr>
        <w:spacing w:after="120" w:line="276" w:lineRule="auto"/>
        <w:ind w:firstLine="403"/>
      </w:pPr>
      <w:r>
        <w:rPr>
          <w:rFonts w:ascii="Microsoft YaHei" w:hAnsi="Microsoft YaHei" w:eastAsia="Microsoft YaHei"/>
          <w:sz w:val="21"/>
        </w:rPr>
        <w:t>应用中心和工作流之间的关键关系是“数据状态”和“流程状态”的映射。一个业务单据可能有草稿、待审、已审、驳回、关闭等状态；工作流中则有实例、节点、任务、事件和办理人。两套状态如果没有映射规则，就会出现页面显示已审核但流程仍未结束，或流程结束但业务状态未更新的问题。因此 app_center.workflow_state_mappings 等配置非常重要。</w:t>
      </w:r>
    </w:p>
    <w:p>
      <w:pPr>
        <w:spacing w:after="120" w:line="276" w:lineRule="auto"/>
        <w:ind w:firstLine="403"/>
      </w:pPr>
      <w:r>
        <w:rPr>
          <w:rFonts w:ascii="Microsoft YaHei" w:hAnsi="Microsoft YaHei" w:eastAsia="Microsoft YaHei"/>
          <w:sz w:val="21"/>
        </w:rPr>
        <w:t>对 Agent 来说，应用中心是理解系统能力的入口。realtime 中的 Flash 工具列出了数据网格、工作流定义、流程实例、流程事件、任务分派、状态映射和发布路由等工具。Agent 不应凭空猜测业务表，而应通过应用中心和语义上下文了解当前系统有哪些对象、哪些操作可用、哪些权限允许、哪些状态可流转。</w:t>
      </w:r>
    </w:p>
    <w:p>
      <w:pPr>
        <w:spacing w:after="120" w:line="276" w:lineRule="auto"/>
        <w:ind w:firstLine="403"/>
      </w:pPr>
      <w:r>
        <w:rPr>
          <w:rFonts w:ascii="Microsoft YaHei" w:hAnsi="Microsoft YaHei" w:eastAsia="Microsoft YaHei"/>
          <w:sz w:val="21"/>
        </w:rPr>
        <w:t>对实施交付来说，应用中心也是第二阶段 Agent 实施贯标运维系统的天然集成点。未来实施系统沉淀客户项目、调研、合同范围、配置包、二开需求和验收文档后，可以生成 EISCore 应用中心配置、字段配置、流程配置和语义配置，再由受控 Agent 执行或半自动执行。这样第二阶段不是另起炉灶，而是围绕 EISCore 的平台化接口做交付自动化。</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340"/>
        <w:gridCol w:w="2340"/>
        <w:gridCol w:w="2340"/>
        <w:gridCol w:w="2340"/>
      </w:tblGrid>
      <w:tr>
        <w:tc>
          <w:tcPr>
            <w:tcW w:type="dxa" w:w="1944"/>
            <w:shd w:fill="E8EEF5"/>
            <w:vAlign w:val="center"/>
          </w:tcPr>
          <w:p>
            <w:pPr>
              <w:jc w:val="center"/>
            </w:pPr>
            <w:r>
              <w:rPr>
                <w:rFonts w:ascii="Microsoft YaHei" w:hAnsi="Microsoft YaHei" w:eastAsia="Microsoft YaHei"/>
                <w:b/>
                <w:sz w:val="18"/>
              </w:rPr>
              <w:t>能力</w:t>
            </w:r>
          </w:p>
        </w:tc>
        <w:tc>
          <w:tcPr>
            <w:tcW w:type="dxa" w:w="2520"/>
            <w:shd w:fill="E8EEF5"/>
            <w:vAlign w:val="center"/>
          </w:tcPr>
          <w:p>
            <w:pPr>
              <w:jc w:val="center"/>
            </w:pPr>
            <w:r>
              <w:rPr>
                <w:rFonts w:ascii="Microsoft YaHei" w:hAnsi="Microsoft YaHei" w:eastAsia="Microsoft YaHei"/>
                <w:b/>
                <w:sz w:val="18"/>
              </w:rPr>
              <w:t>当前载体</w:t>
            </w:r>
          </w:p>
        </w:tc>
        <w:tc>
          <w:tcPr>
            <w:tcW w:type="dxa" w:w="2520"/>
            <w:shd w:fill="E8EEF5"/>
            <w:vAlign w:val="center"/>
          </w:tcPr>
          <w:p>
            <w:pPr>
              <w:jc w:val="center"/>
            </w:pPr>
            <w:r>
              <w:rPr>
                <w:rFonts w:ascii="Microsoft YaHei" w:hAnsi="Microsoft YaHei" w:eastAsia="Microsoft YaHei"/>
                <w:b/>
                <w:sz w:val="18"/>
              </w:rPr>
              <w:t>业务价值</w:t>
            </w:r>
          </w:p>
        </w:tc>
        <w:tc>
          <w:tcPr>
            <w:tcW w:type="dxa" w:w="2376"/>
            <w:shd w:fill="E8EEF5"/>
            <w:vAlign w:val="center"/>
          </w:tcPr>
          <w:p>
            <w:pPr>
              <w:jc w:val="center"/>
            </w:pPr>
            <w:r>
              <w:rPr>
                <w:rFonts w:ascii="Microsoft YaHei" w:hAnsi="Microsoft YaHei" w:eastAsia="Microsoft YaHei"/>
                <w:b/>
                <w:sz w:val="18"/>
              </w:rPr>
              <w:t>后续治理</w:t>
            </w:r>
          </w:p>
        </w:tc>
      </w:tr>
      <w:tr>
        <w:tc>
          <w:tcPr>
            <w:tcW w:type="dxa" w:w="1944"/>
            <w:vAlign w:val="center"/>
          </w:tcPr>
          <w:p>
            <w:pPr>
              <w:spacing w:after="40"/>
            </w:pPr>
            <w:r>
              <w:rPr>
                <w:rFonts w:ascii="Microsoft YaHei" w:hAnsi="Microsoft YaHei" w:eastAsia="Microsoft YaHei"/>
                <w:sz w:val="18"/>
              </w:rPr>
              <w:t>应用分类与卡片</w:t>
            </w:r>
          </w:p>
        </w:tc>
        <w:tc>
          <w:tcPr>
            <w:tcW w:type="dxa" w:w="2520"/>
            <w:vAlign w:val="center"/>
          </w:tcPr>
          <w:p>
            <w:pPr>
              <w:spacing w:after="40"/>
            </w:pPr>
            <w:r>
              <w:rPr>
                <w:rFonts w:ascii="Microsoft YaHei" w:hAnsi="Microsoft YaHei" w:eastAsia="Microsoft YaHei"/>
                <w:sz w:val="18"/>
              </w:rPr>
              <w:t>app_center.categories / apps</w:t>
            </w:r>
          </w:p>
        </w:tc>
        <w:tc>
          <w:tcPr>
            <w:tcW w:type="dxa" w:w="2520"/>
            <w:vAlign w:val="center"/>
          </w:tcPr>
          <w:p>
            <w:pPr>
              <w:spacing w:after="40"/>
            </w:pPr>
            <w:r>
              <w:rPr>
                <w:rFonts w:ascii="Microsoft YaHei" w:hAnsi="Microsoft YaHei" w:eastAsia="Microsoft YaHei"/>
                <w:sz w:val="18"/>
              </w:rPr>
              <w:t>统一管理业务入口和模块可见性</w:t>
            </w:r>
          </w:p>
        </w:tc>
        <w:tc>
          <w:tcPr>
            <w:tcW w:type="dxa" w:w="2376"/>
            <w:vAlign w:val="center"/>
          </w:tcPr>
          <w:p>
            <w:pPr>
              <w:spacing w:after="40"/>
            </w:pPr>
            <w:r>
              <w:rPr>
                <w:rFonts w:ascii="Microsoft YaHei" w:hAnsi="Microsoft YaHei" w:eastAsia="Microsoft YaHei"/>
                <w:sz w:val="18"/>
              </w:rPr>
              <w:t>建立命名、图标、权限和状态规范</w:t>
            </w:r>
          </w:p>
        </w:tc>
      </w:tr>
      <w:tr>
        <w:tc>
          <w:tcPr>
            <w:tcW w:type="dxa" w:w="1944"/>
            <w:vAlign w:val="center"/>
          </w:tcPr>
          <w:p>
            <w:pPr>
              <w:spacing w:after="40"/>
            </w:pPr>
            <w:r>
              <w:rPr>
                <w:rFonts w:ascii="Microsoft YaHei" w:hAnsi="Microsoft YaHei" w:eastAsia="Microsoft YaHei"/>
                <w:sz w:val="18"/>
              </w:rPr>
              <w:t>发布路由</w:t>
            </w:r>
          </w:p>
        </w:tc>
        <w:tc>
          <w:tcPr>
            <w:tcW w:type="dxa" w:w="2520"/>
            <w:vAlign w:val="center"/>
          </w:tcPr>
          <w:p>
            <w:pPr>
              <w:spacing w:after="40"/>
            </w:pPr>
            <w:r>
              <w:rPr>
                <w:rFonts w:ascii="Microsoft YaHei" w:hAnsi="Microsoft YaHei" w:eastAsia="Microsoft YaHei"/>
                <w:sz w:val="18"/>
              </w:rPr>
              <w:t>app_center.published_routes</w:t>
            </w:r>
          </w:p>
        </w:tc>
        <w:tc>
          <w:tcPr>
            <w:tcW w:type="dxa" w:w="2520"/>
            <w:vAlign w:val="center"/>
          </w:tcPr>
          <w:p>
            <w:pPr>
              <w:spacing w:after="40"/>
            </w:pPr>
            <w:r>
              <w:rPr>
                <w:rFonts w:ascii="Microsoft YaHei" w:hAnsi="Microsoft YaHei" w:eastAsia="Microsoft YaHei"/>
                <w:sz w:val="18"/>
              </w:rPr>
              <w:t>让动态页面或草稿页面进入正式导航</w:t>
            </w:r>
          </w:p>
        </w:tc>
        <w:tc>
          <w:tcPr>
            <w:tcW w:type="dxa" w:w="2376"/>
            <w:vAlign w:val="center"/>
          </w:tcPr>
          <w:p>
            <w:pPr>
              <w:spacing w:after="40"/>
            </w:pPr>
            <w:r>
              <w:rPr>
                <w:rFonts w:ascii="Microsoft YaHei" w:hAnsi="Microsoft YaHei" w:eastAsia="Microsoft YaHei"/>
                <w:sz w:val="18"/>
              </w:rPr>
              <w:t>发布前校验权限和资源可达性</w:t>
            </w:r>
          </w:p>
        </w:tc>
      </w:tr>
      <w:tr>
        <w:tc>
          <w:tcPr>
            <w:tcW w:type="dxa" w:w="1944"/>
            <w:vAlign w:val="center"/>
          </w:tcPr>
          <w:p>
            <w:pPr>
              <w:spacing w:after="40"/>
            </w:pPr>
            <w:r>
              <w:rPr>
                <w:rFonts w:ascii="Microsoft YaHei" w:hAnsi="Microsoft YaHei" w:eastAsia="Microsoft YaHei"/>
                <w:sz w:val="18"/>
              </w:rPr>
              <w:t>动态数据应用</w:t>
            </w:r>
          </w:p>
        </w:tc>
        <w:tc>
          <w:tcPr>
            <w:tcW w:type="dxa" w:w="2520"/>
            <w:vAlign w:val="center"/>
          </w:tcPr>
          <w:p>
            <w:pPr>
              <w:spacing w:after="40"/>
            </w:pPr>
            <w:r>
              <w:rPr>
                <w:rFonts w:ascii="Microsoft YaHei" w:hAnsi="Microsoft YaHei" w:eastAsia="Microsoft YaHei"/>
                <w:sz w:val="18"/>
              </w:rPr>
              <w:t>app_data 与 app_center 配置</w:t>
            </w:r>
          </w:p>
        </w:tc>
        <w:tc>
          <w:tcPr>
            <w:tcW w:type="dxa" w:w="2520"/>
            <w:vAlign w:val="center"/>
          </w:tcPr>
          <w:p>
            <w:pPr>
              <w:spacing w:after="40"/>
            </w:pPr>
            <w:r>
              <w:rPr>
                <w:rFonts w:ascii="Microsoft YaHei" w:hAnsi="Microsoft YaHei" w:eastAsia="Microsoft YaHei"/>
                <w:sz w:val="18"/>
              </w:rPr>
              <w:t>满足企业差异字段和临时台账</w:t>
            </w:r>
          </w:p>
        </w:tc>
        <w:tc>
          <w:tcPr>
            <w:tcW w:type="dxa" w:w="2376"/>
            <w:vAlign w:val="center"/>
          </w:tcPr>
          <w:p>
            <w:pPr>
              <w:spacing w:after="40"/>
            </w:pPr>
            <w:r>
              <w:rPr>
                <w:rFonts w:ascii="Microsoft YaHei" w:hAnsi="Microsoft YaHei" w:eastAsia="Microsoft YaHei"/>
                <w:sz w:val="18"/>
              </w:rPr>
              <w:t>字段语义、统计口径和导入规则同步</w:t>
            </w:r>
          </w:p>
        </w:tc>
      </w:tr>
      <w:tr>
        <w:tc>
          <w:tcPr>
            <w:tcW w:type="dxa" w:w="1944"/>
            <w:vAlign w:val="center"/>
          </w:tcPr>
          <w:p>
            <w:pPr>
              <w:spacing w:after="40"/>
            </w:pPr>
            <w:r>
              <w:rPr>
                <w:rFonts w:ascii="Microsoft YaHei" w:hAnsi="Microsoft YaHei" w:eastAsia="Microsoft YaHei"/>
                <w:sz w:val="18"/>
              </w:rPr>
              <w:t>工作流设计</w:t>
            </w:r>
          </w:p>
        </w:tc>
        <w:tc>
          <w:tcPr>
            <w:tcW w:type="dxa" w:w="2520"/>
            <w:vAlign w:val="center"/>
          </w:tcPr>
          <w:p>
            <w:pPr>
              <w:spacing w:after="40"/>
            </w:pPr>
            <w:r>
              <w:rPr>
                <w:rFonts w:ascii="Microsoft YaHei" w:hAnsi="Microsoft YaHei" w:eastAsia="Microsoft YaHei"/>
                <w:sz w:val="18"/>
              </w:rPr>
              <w:t>workflow definitions / instances</w:t>
            </w:r>
          </w:p>
        </w:tc>
        <w:tc>
          <w:tcPr>
            <w:tcW w:type="dxa" w:w="2520"/>
            <w:vAlign w:val="center"/>
          </w:tcPr>
          <w:p>
            <w:pPr>
              <w:spacing w:after="40"/>
            </w:pPr>
            <w:r>
              <w:rPr>
                <w:rFonts w:ascii="Microsoft YaHei" w:hAnsi="Microsoft YaHei" w:eastAsia="Microsoft YaHei"/>
                <w:sz w:val="18"/>
              </w:rPr>
              <w:t>审批和任务办理闭环</w:t>
            </w:r>
          </w:p>
        </w:tc>
        <w:tc>
          <w:tcPr>
            <w:tcW w:type="dxa" w:w="2376"/>
            <w:vAlign w:val="center"/>
          </w:tcPr>
          <w:p>
            <w:pPr>
              <w:spacing w:after="40"/>
            </w:pPr>
            <w:r>
              <w:rPr>
                <w:rFonts w:ascii="Microsoft YaHei" w:hAnsi="Microsoft YaHei" w:eastAsia="Microsoft YaHei"/>
                <w:sz w:val="18"/>
              </w:rPr>
              <w:t>流程模板版本化和状态映射审计</w:t>
            </w:r>
          </w:p>
        </w:tc>
      </w:tr>
      <w:tr>
        <w:tc>
          <w:tcPr>
            <w:tcW w:type="dxa" w:w="1944"/>
            <w:vAlign w:val="center"/>
          </w:tcPr>
          <w:p>
            <w:pPr>
              <w:spacing w:after="40"/>
            </w:pPr>
            <w:r>
              <w:rPr>
                <w:rFonts w:ascii="Microsoft YaHei" w:hAnsi="Microsoft YaHei" w:eastAsia="Microsoft YaHei"/>
                <w:sz w:val="18"/>
              </w:rPr>
              <w:t>审批中心</w:t>
            </w:r>
          </w:p>
        </w:tc>
        <w:tc>
          <w:tcPr>
            <w:tcW w:type="dxa" w:w="2520"/>
            <w:vAlign w:val="center"/>
          </w:tcPr>
          <w:p>
            <w:pPr>
              <w:spacing w:after="40"/>
            </w:pPr>
            <w:r>
              <w:rPr>
                <w:rFonts w:ascii="Microsoft YaHei" w:hAnsi="Microsoft YaHei" w:eastAsia="Microsoft YaHei"/>
                <w:sz w:val="18"/>
              </w:rPr>
              <w:t>workflow tasks / events</w:t>
            </w:r>
          </w:p>
        </w:tc>
        <w:tc>
          <w:tcPr>
            <w:tcW w:type="dxa" w:w="2520"/>
            <w:vAlign w:val="center"/>
          </w:tcPr>
          <w:p>
            <w:pPr>
              <w:spacing w:after="40"/>
            </w:pPr>
            <w:r>
              <w:rPr>
                <w:rFonts w:ascii="Microsoft YaHei" w:hAnsi="Microsoft YaHei" w:eastAsia="Microsoft YaHei"/>
                <w:sz w:val="18"/>
              </w:rPr>
              <w:t>集中办理待办、查看流程轨迹</w:t>
            </w:r>
          </w:p>
        </w:tc>
        <w:tc>
          <w:tcPr>
            <w:tcW w:type="dxa" w:w="2376"/>
            <w:vAlign w:val="center"/>
          </w:tcPr>
          <w:p>
            <w:pPr>
              <w:spacing w:after="40"/>
            </w:pPr>
            <w:r>
              <w:rPr>
                <w:rFonts w:ascii="Microsoft YaHei" w:hAnsi="Microsoft YaHei" w:eastAsia="Microsoft YaHei"/>
                <w:sz w:val="18"/>
              </w:rPr>
              <w:t>异常流程、驳回和撤回规则明确</w:t>
            </w:r>
          </w:p>
        </w:tc>
      </w:tr>
      <w:tr>
        <w:tc>
          <w:tcPr>
            <w:tcW w:type="dxa" w:w="1944"/>
            <w:vAlign w:val="center"/>
          </w:tcPr>
          <w:p>
            <w:pPr>
              <w:spacing w:after="40"/>
            </w:pPr>
            <w:r>
              <w:rPr>
                <w:rFonts w:ascii="Microsoft YaHei" w:hAnsi="Microsoft YaHei" w:eastAsia="Microsoft YaHei"/>
                <w:sz w:val="18"/>
              </w:rPr>
              <w:t>本体关系工作台</w:t>
            </w:r>
          </w:p>
        </w:tc>
        <w:tc>
          <w:tcPr>
            <w:tcW w:type="dxa" w:w="2520"/>
            <w:vAlign w:val="center"/>
          </w:tcPr>
          <w:p>
            <w:pPr>
              <w:spacing w:after="40"/>
            </w:pPr>
            <w:r>
              <w:rPr>
                <w:rFonts w:ascii="Microsoft YaHei" w:hAnsi="Microsoft YaHei" w:eastAsia="Microsoft YaHei"/>
                <w:sz w:val="18"/>
              </w:rPr>
              <w:t>ontology relations / semantics</w:t>
            </w:r>
          </w:p>
        </w:tc>
        <w:tc>
          <w:tcPr>
            <w:tcW w:type="dxa" w:w="2520"/>
            <w:vAlign w:val="center"/>
          </w:tcPr>
          <w:p>
            <w:pPr>
              <w:spacing w:after="40"/>
            </w:pPr>
            <w:r>
              <w:rPr>
                <w:rFonts w:ascii="Microsoft YaHei" w:hAnsi="Microsoft YaHei" w:eastAsia="Microsoft YaHei"/>
                <w:sz w:val="18"/>
              </w:rPr>
              <w:t>让字段和业务对象可被 AI/统计理解</w:t>
            </w:r>
          </w:p>
        </w:tc>
        <w:tc>
          <w:tcPr>
            <w:tcW w:type="dxa" w:w="2376"/>
            <w:vAlign w:val="center"/>
          </w:tcPr>
          <w:p>
            <w:pPr>
              <w:spacing w:after="40"/>
            </w:pPr>
            <w:r>
              <w:rPr>
                <w:rFonts w:ascii="Microsoft YaHei" w:hAnsi="Microsoft YaHei" w:eastAsia="Microsoft YaHei"/>
                <w:sz w:val="18"/>
              </w:rPr>
              <w:t>语义覆盖率和乱码修复纳入门禁</w:t>
            </w:r>
          </w:p>
        </w:tc>
      </w:tr>
    </w:tbl>
    <w:p/>
    <w:p>
      <w:pPr>
        <w:pStyle w:val="Heading1"/>
      </w:pPr>
      <w:r>
        <w:rPr>
          <w:rFonts w:ascii="Microsoft YaHei" w:hAnsi="Microsoft YaHei" w:eastAsia="Microsoft YaHei"/>
          <w:b/>
          <w:color w:val="2E74B5"/>
          <w:sz w:val="32"/>
        </w:rPr>
        <w:t>8 轻量本体、语义治理与知识库升级基础</w:t>
      </w:r>
    </w:p>
    <w:p>
      <w:pPr>
        <w:spacing w:after="120" w:line="276" w:lineRule="auto"/>
        <w:ind w:firstLine="403"/>
      </w:pPr>
      <w:r>
        <w:rPr>
          <w:rFonts w:ascii="Microsoft YaHei" w:hAnsi="Microsoft YaHei" w:eastAsia="Microsoft YaHei"/>
          <w:sz w:val="21"/>
        </w:rPr>
        <w:t>轻量本体是 EISCore 当前非常有辨识度的设计。传统系统中的表名、字段名、页面名、业务术语和统计口径往往分散在代码、数据库和文档中，AI 或实施人员很难准确理解。轻量本体通过表语义、字段语义、对象关系、语义覆盖率、推理引擎和上下文 RPC，将这些隐性知识显性化，为 AI 查询、自动入单、动态表统计和实施配置提供基础。</w:t>
      </w:r>
    </w:p>
    <w:p>
      <w:pPr>
        <w:spacing w:after="120" w:line="276" w:lineRule="auto"/>
        <w:ind w:firstLine="403"/>
      </w:pPr>
      <w:r>
        <w:rPr>
          <w:rFonts w:ascii="Microsoft YaHei" w:hAnsi="Microsoft YaHei" w:eastAsia="Microsoft YaHei"/>
          <w:sz w:val="21"/>
        </w:rPr>
        <w:t>从 SQL 文件看，系统已经有 patch_lightweight_ontology_runtime、patch_ontology_graph_query_v1、patch_ontology_reasoning_engine_v1、patch_ontology_reasoning_insights_v1、patch_ontology_semantic_coverage_v2、patch_agent_ontology_secure_context_v1 等脚本。这说明本体不只是文档概念，而已经落实为数据库结构、查询函数、推理函数、覆盖率统计和受控上下文接口。</w:t>
      </w:r>
    </w:p>
    <w:p>
      <w:pPr>
        <w:spacing w:after="120" w:line="276" w:lineRule="auto"/>
        <w:ind w:firstLine="403"/>
      </w:pPr>
      <w:r>
        <w:rPr>
          <w:rFonts w:ascii="Microsoft YaHei" w:hAnsi="Microsoft YaHei" w:eastAsia="Microsoft YaHei"/>
          <w:sz w:val="21"/>
        </w:rPr>
        <w:t>知识库升级并不等同于上传一些文档给 AI 阅读。对 EISCore 来说，知识库升级更应该理解为：把业务模块、表字段、流程状态、角色权限、统计口径、主数据关系、常见异常和实施经验沉淀成结构化、可查询、可审计的系统知识。轻量本体就是这套知识库的底座，文档资料和 Agent 经验则是增量来源。</w:t>
      </w:r>
    </w:p>
    <w:p>
      <w:pPr>
        <w:spacing w:after="120" w:line="276" w:lineRule="auto"/>
        <w:ind w:firstLine="403"/>
      </w:pPr>
      <w:r>
        <w:rPr>
          <w:rFonts w:ascii="Microsoft YaHei" w:hAnsi="Microsoft YaHei" w:eastAsia="Microsoft YaHei"/>
          <w:sz w:val="21"/>
        </w:rPr>
        <w:t>AI 自动入单场景会反过来促进语义治理。资料中出现的字段可能与系统字段同义但名称不同，例如“供应商名称”和“供方”，“产品批号”和“批次号”，“检验结论”和“判定结果”。如果只靠 prompt 临时判断，识别效果会不稳定；如果把这些同义关系、字段类型、单位、主数据匹配规则和必填规则沉淀到语义层，下一次识别就能复用。</w:t>
      </w:r>
    </w:p>
    <w:p>
      <w:pPr>
        <w:spacing w:after="120" w:line="276" w:lineRule="auto"/>
        <w:ind w:firstLine="403"/>
      </w:pPr>
      <w:r>
        <w:rPr>
          <w:rFonts w:ascii="Microsoft YaHei" w:hAnsi="Microsoft YaHei" w:eastAsia="Microsoft YaHei"/>
          <w:sz w:val="21"/>
        </w:rPr>
        <w:t>乱码问题也属于语义治理的一部分。项目中已经存在 patch_fix_ontology_semantic_qmarks_20260618.sql 和 SQL_PATCH_UTF8_EXECUTION_STANDARD.md，说明数据库中曾出现中文变成问号的情况。对于语义字段，乱码的破坏性比普通备注更大，因为 AI、统计和动态表都会依赖这些中文描述。后续应把 SQL 文件编码、psql 执行客户端编码、数据库编码和补丁执行标准纳入门禁。</w:t>
      </w:r>
    </w:p>
    <w:p>
      <w:pPr>
        <w:spacing w:after="120" w:line="276" w:lineRule="auto"/>
        <w:ind w:firstLine="403"/>
      </w:pPr>
      <w:r>
        <w:rPr>
          <w:rFonts w:ascii="Microsoft YaHei" w:hAnsi="Microsoft YaHei" w:eastAsia="Microsoft YaHei"/>
          <w:sz w:val="21"/>
        </w:rPr>
        <w:t>本体层未来还可以支撑第二阶段 Agent 实施贯标运维系统。商务、售前、调研、合同、实施、二开、验收、售后和维护过程中产生的大量文档和经验，可以通过本体映射到 EISCore 的模块、字段、流程和配置包。这样实施知识不是单独沉睡在文档库里，而是可以转化为可执行配置、可验证检查和可追踪交付记录。</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1872"/>
            <w:shd w:fill="E8EEF5"/>
            <w:vAlign w:val="center"/>
          </w:tcPr>
          <w:p>
            <w:pPr>
              <w:jc w:val="center"/>
            </w:pPr>
            <w:r>
              <w:rPr>
                <w:rFonts w:ascii="Microsoft YaHei" w:hAnsi="Microsoft YaHei" w:eastAsia="Microsoft YaHei"/>
                <w:b/>
                <w:sz w:val="18"/>
              </w:rPr>
              <w:t>语义对象</w:t>
            </w:r>
          </w:p>
        </w:tc>
        <w:tc>
          <w:tcPr>
            <w:tcW w:type="dxa" w:w="3456"/>
            <w:shd w:fill="E8EEF5"/>
            <w:vAlign w:val="center"/>
          </w:tcPr>
          <w:p>
            <w:pPr>
              <w:jc w:val="center"/>
            </w:pPr>
            <w:r>
              <w:rPr>
                <w:rFonts w:ascii="Microsoft YaHei" w:hAnsi="Microsoft YaHei" w:eastAsia="Microsoft YaHei"/>
                <w:b/>
                <w:sz w:val="18"/>
              </w:rPr>
              <w:t>说明</w:t>
            </w:r>
          </w:p>
        </w:tc>
        <w:tc>
          <w:tcPr>
            <w:tcW w:type="dxa" w:w="3600"/>
            <w:shd w:fill="E8EEF5"/>
            <w:vAlign w:val="center"/>
          </w:tcPr>
          <w:p>
            <w:pPr>
              <w:jc w:val="center"/>
            </w:pPr>
            <w:r>
              <w:rPr>
                <w:rFonts w:ascii="Microsoft YaHei" w:hAnsi="Microsoft YaHei" w:eastAsia="Microsoft YaHei"/>
                <w:b/>
                <w:sz w:val="18"/>
              </w:rPr>
              <w:t>典型用途</w:t>
            </w:r>
          </w:p>
        </w:tc>
      </w:tr>
      <w:tr>
        <w:tc>
          <w:tcPr>
            <w:tcW w:type="dxa" w:w="1872"/>
            <w:vAlign w:val="center"/>
          </w:tcPr>
          <w:p>
            <w:pPr>
              <w:spacing w:after="40"/>
            </w:pPr>
            <w:r>
              <w:rPr>
                <w:rFonts w:ascii="Microsoft YaHei" w:hAnsi="Microsoft YaHei" w:eastAsia="Microsoft YaHei"/>
                <w:sz w:val="18"/>
              </w:rPr>
              <w:t>表语义</w:t>
            </w:r>
          </w:p>
        </w:tc>
        <w:tc>
          <w:tcPr>
            <w:tcW w:type="dxa" w:w="3456"/>
            <w:vAlign w:val="center"/>
          </w:tcPr>
          <w:p>
            <w:pPr>
              <w:spacing w:after="40"/>
            </w:pPr>
            <w:r>
              <w:rPr>
                <w:rFonts w:ascii="Microsoft YaHei" w:hAnsi="Microsoft YaHei" w:eastAsia="Microsoft YaHei"/>
                <w:sz w:val="18"/>
              </w:rPr>
              <w:t>描述业务表的中文含义、业务域和用途</w:t>
            </w:r>
          </w:p>
        </w:tc>
        <w:tc>
          <w:tcPr>
            <w:tcW w:type="dxa" w:w="3600"/>
            <w:vAlign w:val="center"/>
          </w:tcPr>
          <w:p>
            <w:pPr>
              <w:spacing w:after="40"/>
            </w:pPr>
            <w:r>
              <w:rPr>
                <w:rFonts w:ascii="Microsoft YaHei" w:hAnsi="Microsoft YaHei" w:eastAsia="Microsoft YaHei"/>
                <w:sz w:val="18"/>
              </w:rPr>
              <w:t>让 AI 知道目标表适合写入哪类资料</w:t>
            </w:r>
          </w:p>
        </w:tc>
      </w:tr>
      <w:tr>
        <w:tc>
          <w:tcPr>
            <w:tcW w:type="dxa" w:w="1872"/>
            <w:vAlign w:val="center"/>
          </w:tcPr>
          <w:p>
            <w:pPr>
              <w:spacing w:after="40"/>
            </w:pPr>
            <w:r>
              <w:rPr>
                <w:rFonts w:ascii="Microsoft YaHei" w:hAnsi="Microsoft YaHei" w:eastAsia="Microsoft YaHei"/>
                <w:sz w:val="18"/>
              </w:rPr>
              <w:t>字段语义</w:t>
            </w:r>
          </w:p>
        </w:tc>
        <w:tc>
          <w:tcPr>
            <w:tcW w:type="dxa" w:w="3456"/>
            <w:vAlign w:val="center"/>
          </w:tcPr>
          <w:p>
            <w:pPr>
              <w:spacing w:after="40"/>
            </w:pPr>
            <w:r>
              <w:rPr>
                <w:rFonts w:ascii="Microsoft YaHei" w:hAnsi="Microsoft YaHei" w:eastAsia="Microsoft YaHei"/>
                <w:sz w:val="18"/>
              </w:rPr>
              <w:t>描述字段含义、类型、单位、是否主数据、是否统计指标</w:t>
            </w:r>
          </w:p>
        </w:tc>
        <w:tc>
          <w:tcPr>
            <w:tcW w:type="dxa" w:w="3600"/>
            <w:vAlign w:val="center"/>
          </w:tcPr>
          <w:p>
            <w:pPr>
              <w:spacing w:after="40"/>
            </w:pPr>
            <w:r>
              <w:rPr>
                <w:rFonts w:ascii="Microsoft YaHei" w:hAnsi="Microsoft YaHei" w:eastAsia="Microsoft YaHei"/>
                <w:sz w:val="18"/>
              </w:rPr>
              <w:t>字段映射、动态统计、表格问答</w:t>
            </w:r>
          </w:p>
        </w:tc>
      </w:tr>
      <w:tr>
        <w:tc>
          <w:tcPr>
            <w:tcW w:type="dxa" w:w="1872"/>
            <w:vAlign w:val="center"/>
          </w:tcPr>
          <w:p>
            <w:pPr>
              <w:spacing w:after="40"/>
            </w:pPr>
            <w:r>
              <w:rPr>
                <w:rFonts w:ascii="Microsoft YaHei" w:hAnsi="Microsoft YaHei" w:eastAsia="Microsoft YaHei"/>
                <w:sz w:val="18"/>
              </w:rPr>
              <w:t>关系语义</w:t>
            </w:r>
          </w:p>
        </w:tc>
        <w:tc>
          <w:tcPr>
            <w:tcW w:type="dxa" w:w="3456"/>
            <w:vAlign w:val="center"/>
          </w:tcPr>
          <w:p>
            <w:pPr>
              <w:spacing w:after="40"/>
            </w:pPr>
            <w:r>
              <w:rPr>
                <w:rFonts w:ascii="Microsoft YaHei" w:hAnsi="Microsoft YaHei" w:eastAsia="Microsoft YaHei"/>
                <w:sz w:val="18"/>
              </w:rPr>
              <w:t>描述客户、供应商、物料、订单、工单、库存等对象关系</w:t>
            </w:r>
          </w:p>
        </w:tc>
        <w:tc>
          <w:tcPr>
            <w:tcW w:type="dxa" w:w="3600"/>
            <w:vAlign w:val="center"/>
          </w:tcPr>
          <w:p>
            <w:pPr>
              <w:spacing w:after="40"/>
            </w:pPr>
            <w:r>
              <w:rPr>
                <w:rFonts w:ascii="Microsoft YaHei" w:hAnsi="Microsoft YaHei" w:eastAsia="Microsoft YaHei"/>
                <w:sz w:val="18"/>
              </w:rPr>
              <w:t>知识图谱查询、跨模块追溯</w:t>
            </w:r>
          </w:p>
        </w:tc>
      </w:tr>
      <w:tr>
        <w:tc>
          <w:tcPr>
            <w:tcW w:type="dxa" w:w="1872"/>
            <w:vAlign w:val="center"/>
          </w:tcPr>
          <w:p>
            <w:pPr>
              <w:spacing w:after="40"/>
            </w:pPr>
            <w:r>
              <w:rPr>
                <w:rFonts w:ascii="Microsoft YaHei" w:hAnsi="Microsoft YaHei" w:eastAsia="Microsoft YaHei"/>
                <w:sz w:val="18"/>
              </w:rPr>
              <w:t>流程语义</w:t>
            </w:r>
          </w:p>
        </w:tc>
        <w:tc>
          <w:tcPr>
            <w:tcW w:type="dxa" w:w="3456"/>
            <w:vAlign w:val="center"/>
          </w:tcPr>
          <w:p>
            <w:pPr>
              <w:spacing w:after="40"/>
            </w:pPr>
            <w:r>
              <w:rPr>
                <w:rFonts w:ascii="Microsoft YaHei" w:hAnsi="Microsoft YaHei" w:eastAsia="Microsoft YaHei"/>
                <w:sz w:val="18"/>
              </w:rPr>
              <w:t>描述流程节点、状态、角色和动作含义</w:t>
            </w:r>
          </w:p>
        </w:tc>
        <w:tc>
          <w:tcPr>
            <w:tcW w:type="dxa" w:w="3600"/>
            <w:vAlign w:val="center"/>
          </w:tcPr>
          <w:p>
            <w:pPr>
              <w:spacing w:after="40"/>
            </w:pPr>
            <w:r>
              <w:rPr>
                <w:rFonts w:ascii="Microsoft YaHei" w:hAnsi="Microsoft YaHei" w:eastAsia="Microsoft YaHei"/>
                <w:sz w:val="18"/>
              </w:rPr>
              <w:t>Agent 办理建议、审批解释、状态同步</w:t>
            </w:r>
          </w:p>
        </w:tc>
      </w:tr>
      <w:tr>
        <w:tc>
          <w:tcPr>
            <w:tcW w:type="dxa" w:w="1872"/>
            <w:vAlign w:val="center"/>
          </w:tcPr>
          <w:p>
            <w:pPr>
              <w:spacing w:after="40"/>
            </w:pPr>
            <w:r>
              <w:rPr>
                <w:rFonts w:ascii="Microsoft YaHei" w:hAnsi="Microsoft YaHei" w:eastAsia="Microsoft YaHei"/>
                <w:sz w:val="18"/>
              </w:rPr>
              <w:t>覆盖率</w:t>
            </w:r>
          </w:p>
        </w:tc>
        <w:tc>
          <w:tcPr>
            <w:tcW w:type="dxa" w:w="3456"/>
            <w:vAlign w:val="center"/>
          </w:tcPr>
          <w:p>
            <w:pPr>
              <w:spacing w:after="40"/>
            </w:pPr>
            <w:r>
              <w:rPr>
                <w:rFonts w:ascii="Microsoft YaHei" w:hAnsi="Microsoft YaHei" w:eastAsia="Microsoft YaHei"/>
                <w:sz w:val="18"/>
              </w:rPr>
              <w:t>统计哪些表和字段已有语义标注</w:t>
            </w:r>
          </w:p>
        </w:tc>
        <w:tc>
          <w:tcPr>
            <w:tcW w:type="dxa" w:w="3600"/>
            <w:vAlign w:val="center"/>
          </w:tcPr>
          <w:p>
            <w:pPr>
              <w:spacing w:after="40"/>
            </w:pPr>
            <w:r>
              <w:rPr>
                <w:rFonts w:ascii="Microsoft YaHei" w:hAnsi="Microsoft YaHei" w:eastAsia="Microsoft YaHei"/>
                <w:sz w:val="18"/>
              </w:rPr>
              <w:t>治理质量评估和上线门禁</w:t>
            </w:r>
          </w:p>
        </w:tc>
      </w:tr>
      <w:tr>
        <w:tc>
          <w:tcPr>
            <w:tcW w:type="dxa" w:w="1872"/>
            <w:vAlign w:val="center"/>
          </w:tcPr>
          <w:p>
            <w:pPr>
              <w:spacing w:after="40"/>
            </w:pPr>
            <w:r>
              <w:rPr>
                <w:rFonts w:ascii="Microsoft YaHei" w:hAnsi="Microsoft YaHei" w:eastAsia="Microsoft YaHei"/>
                <w:sz w:val="18"/>
              </w:rPr>
              <w:t>安全上下文</w:t>
            </w:r>
          </w:p>
        </w:tc>
        <w:tc>
          <w:tcPr>
            <w:tcW w:type="dxa" w:w="3456"/>
            <w:vAlign w:val="center"/>
          </w:tcPr>
          <w:p>
            <w:pPr>
              <w:spacing w:after="40"/>
            </w:pPr>
            <w:r>
              <w:rPr>
                <w:rFonts w:ascii="Microsoft YaHei" w:hAnsi="Microsoft YaHei" w:eastAsia="Microsoft YaHei"/>
                <w:sz w:val="18"/>
              </w:rPr>
              <w:t>按角色和权限返回可见语义</w:t>
            </w:r>
          </w:p>
        </w:tc>
        <w:tc>
          <w:tcPr>
            <w:tcW w:type="dxa" w:w="3600"/>
            <w:vAlign w:val="center"/>
          </w:tcPr>
          <w:p>
            <w:pPr>
              <w:spacing w:after="40"/>
            </w:pPr>
            <w:r>
              <w:rPr>
                <w:rFonts w:ascii="Microsoft YaHei" w:hAnsi="Microsoft YaHei" w:eastAsia="Microsoft YaHei"/>
                <w:sz w:val="18"/>
              </w:rPr>
              <w:t>避免 Agent 越权理解或操作系统对象</w:t>
            </w:r>
          </w:p>
        </w:tc>
      </w:tr>
    </w:tbl>
    <w:p/>
    <w:p>
      <w:pPr>
        <w:pStyle w:val="Heading1"/>
      </w:pPr>
      <w:r>
        <w:rPr>
          <w:rFonts w:ascii="Microsoft YaHei" w:hAnsi="Microsoft YaHei" w:eastAsia="Microsoft YaHei"/>
          <w:b/>
          <w:color w:val="2E74B5"/>
          <w:sz w:val="32"/>
        </w:rPr>
        <w:t>9 Agent Runtime 与智能辅助能力</w:t>
      </w:r>
    </w:p>
    <w:p>
      <w:pPr>
        <w:spacing w:after="120" w:line="276" w:lineRule="auto"/>
        <w:ind w:firstLine="403"/>
      </w:pPr>
      <w:r>
        <w:rPr>
          <w:rFonts w:ascii="Microsoft YaHei" w:hAnsi="Microsoft YaHei" w:eastAsia="Microsoft YaHei"/>
          <w:sz w:val="21"/>
        </w:rPr>
        <w:t>Agent Runtime 位于 realtime 目录，是当前系统智能化能力的主要承载层。它不是简单聊天接口，而是连接数据库、应用中心、工作流、本体语义、文件系统、AI 配置、文档采集 worker 和前端工具调用的运行时。docker-compose 中将 realtime 源码挂载到容器 /app，同时把多个前端源码目录挂载到 /workspace，说明该服务既服务业务运行，也服务受控的工程辅助和草稿生成。</w:t>
      </w:r>
    </w:p>
    <w:p>
      <w:pPr>
        <w:spacing w:after="120" w:line="276" w:lineRule="auto"/>
        <w:ind w:firstLine="403"/>
      </w:pPr>
      <w:r>
        <w:rPr>
          <w:rFonts w:ascii="Microsoft YaHei" w:hAnsi="Microsoft YaHei" w:eastAsia="Microsoft YaHei"/>
          <w:sz w:val="21"/>
        </w:rPr>
        <w:t>realtime/index.js 中可以看到 AgentConversation、FileWatcher、WorkflowEngine、DocumentIntakeHandlers、DocumentParseWorker、DocumentPlanWorker、DocumentEntryWorker 和 DocumentFixedEntryWorker 等组件。它还维护 Flash 工具清单，包括数据网格查询、工作流定义和实例、流程事件、任务分派、状态映射、本体关系、本体语义和草稿附件等。这个工具清单是 Agent 安全工作的边界。</w:t>
      </w:r>
    </w:p>
    <w:p>
      <w:pPr>
        <w:spacing w:after="120" w:line="276" w:lineRule="auto"/>
        <w:ind w:firstLine="403"/>
      </w:pPr>
      <w:r>
        <w:rPr>
          <w:rFonts w:ascii="Microsoft YaHei" w:hAnsi="Microsoft YaHei" w:eastAsia="Microsoft YaHei"/>
          <w:sz w:val="21"/>
        </w:rPr>
        <w:t>当前 Agent 能力大致分为三类。第一类是业务辅助，例如 Smart BI、Grid Agent、中文分组统计、明细抽样和卡片报告。第二类是流程辅助，例如查询流程、启动流程、流转流程、查看待办和解释状态。第三类是工程和配置辅助，例如 Flash 草稿、发布路由、语义补充和未来配置包执行。不同类别的风险不同，业务查询主要防止口径错误，流程操作主要防止越权和重复执行，工程辅助主要防止误改代码和配置。</w:t>
      </w:r>
    </w:p>
    <w:p>
      <w:pPr>
        <w:spacing w:after="120" w:line="276" w:lineRule="auto"/>
        <w:ind w:firstLine="403"/>
      </w:pPr>
      <w:r>
        <w:rPr>
          <w:rFonts w:ascii="Microsoft YaHei" w:hAnsi="Microsoft YaHei" w:eastAsia="Microsoft YaHei"/>
          <w:sz w:val="21"/>
        </w:rPr>
        <w:t>Agent Runtime 对小规模系统很有价值，因为它把复杂智能能力集中到一个可控节点，避免每个前端模块都直接对接大模型或写自己的智能逻辑。但从架构演进看，realtime 服务已经变得较宽：聊天、文件、工作流、文档采集、工具调用、发布下载和健康检查都在同一层。随着用户量和业务量增长，建议逐步按领域拆出 document-intake、agent-tools、workflow-runtime、bi-query 等子模块或服务。</w:t>
      </w:r>
    </w:p>
    <w:p>
      <w:pPr>
        <w:spacing w:after="120" w:line="276" w:lineRule="auto"/>
        <w:ind w:firstLine="403"/>
      </w:pPr>
      <w:r>
        <w:rPr>
          <w:rFonts w:ascii="Microsoft YaHei" w:hAnsi="Microsoft YaHei" w:eastAsia="Microsoft YaHei"/>
          <w:sz w:val="21"/>
        </w:rPr>
        <w:t>智能能力必须建立在可解释和可回滚之上。尤其是 AI 自动入单，系统不应只保存最终生成的业务单据，还应保存原始资料、解析结果、分类结果、计划、字段映射、置信度、未匹配字段、业务链接和修正记录。这样即使识别错了，企业也可以追溯来源、修改单据、修正语义规则，并把修正结果反馈给后续识别链路。</w:t>
      </w:r>
    </w:p>
    <w:p>
      <w:pPr>
        <w:spacing w:after="120" w:line="276" w:lineRule="auto"/>
        <w:ind w:firstLine="403"/>
      </w:pPr>
      <w:r>
        <w:rPr>
          <w:rFonts w:ascii="Microsoft YaHei" w:hAnsi="Microsoft YaHei" w:eastAsia="Microsoft YaHei"/>
          <w:sz w:val="21"/>
        </w:rPr>
        <w:t>当前系统已经把 Agent 与本体语义、工作流和动态表连接起来，这是一个正确方向。后续关键不是继续增加“会说话”的入口，而是让 Agent 在受控上下文中知道自己能做什么、不能做什么、每次操作影响哪些表、是否需要人工确认、是否会触发审批、是否要写审计日志。这个原则同样适用于未来 Agent 实施贯标运维系统。</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340"/>
        <w:gridCol w:w="2340"/>
        <w:gridCol w:w="2340"/>
        <w:gridCol w:w="2340"/>
      </w:tblGrid>
      <w:tr>
        <w:tc>
          <w:tcPr>
            <w:tcW w:type="dxa" w:w="1944"/>
            <w:shd w:fill="E8EEF5"/>
            <w:vAlign w:val="center"/>
          </w:tcPr>
          <w:p>
            <w:pPr>
              <w:jc w:val="center"/>
            </w:pPr>
            <w:r>
              <w:rPr>
                <w:rFonts w:ascii="Microsoft YaHei" w:hAnsi="Microsoft YaHei" w:eastAsia="Microsoft YaHei"/>
                <w:b/>
                <w:sz w:val="18"/>
              </w:rPr>
              <w:t>能力域</w:t>
            </w:r>
          </w:p>
        </w:tc>
        <w:tc>
          <w:tcPr>
            <w:tcW w:type="dxa" w:w="2520"/>
            <w:shd w:fill="E8EEF5"/>
            <w:vAlign w:val="center"/>
          </w:tcPr>
          <w:p>
            <w:pPr>
              <w:jc w:val="center"/>
            </w:pPr>
            <w:r>
              <w:rPr>
                <w:rFonts w:ascii="Microsoft YaHei" w:hAnsi="Microsoft YaHei" w:eastAsia="Microsoft YaHei"/>
                <w:b/>
                <w:sz w:val="18"/>
              </w:rPr>
              <w:t>当前实现线索</w:t>
            </w:r>
          </w:p>
        </w:tc>
        <w:tc>
          <w:tcPr>
            <w:tcW w:type="dxa" w:w="2520"/>
            <w:shd w:fill="E8EEF5"/>
            <w:vAlign w:val="center"/>
          </w:tcPr>
          <w:p>
            <w:pPr>
              <w:jc w:val="center"/>
            </w:pPr>
            <w:r>
              <w:rPr>
                <w:rFonts w:ascii="Microsoft YaHei" w:hAnsi="Microsoft YaHei" w:eastAsia="Microsoft YaHei"/>
                <w:b/>
                <w:sz w:val="18"/>
              </w:rPr>
              <w:t>价值</w:t>
            </w:r>
          </w:p>
        </w:tc>
        <w:tc>
          <w:tcPr>
            <w:tcW w:type="dxa" w:w="2376"/>
            <w:shd w:fill="E8EEF5"/>
            <w:vAlign w:val="center"/>
          </w:tcPr>
          <w:p>
            <w:pPr>
              <w:jc w:val="center"/>
            </w:pPr>
            <w:r>
              <w:rPr>
                <w:rFonts w:ascii="Microsoft YaHei" w:hAnsi="Microsoft YaHei" w:eastAsia="Microsoft YaHei"/>
                <w:b/>
                <w:sz w:val="18"/>
              </w:rPr>
              <w:t>风险控制</w:t>
            </w:r>
          </w:p>
        </w:tc>
      </w:tr>
      <w:tr>
        <w:tc>
          <w:tcPr>
            <w:tcW w:type="dxa" w:w="1944"/>
            <w:vAlign w:val="center"/>
          </w:tcPr>
          <w:p>
            <w:pPr>
              <w:spacing w:after="40"/>
            </w:pPr>
            <w:r>
              <w:rPr>
                <w:rFonts w:ascii="Microsoft YaHei" w:hAnsi="Microsoft YaHei" w:eastAsia="Microsoft YaHei"/>
                <w:sz w:val="18"/>
              </w:rPr>
              <w:t>Flash 工具</w:t>
            </w:r>
          </w:p>
        </w:tc>
        <w:tc>
          <w:tcPr>
            <w:tcW w:type="dxa" w:w="2520"/>
            <w:vAlign w:val="center"/>
          </w:tcPr>
          <w:p>
            <w:pPr>
              <w:spacing w:after="40"/>
            </w:pPr>
            <w:r>
              <w:rPr>
                <w:rFonts w:ascii="Microsoft YaHei" w:hAnsi="Microsoft YaHei" w:eastAsia="Microsoft YaHei"/>
                <w:sz w:val="18"/>
              </w:rPr>
              <w:t>realtime 工具清单和 capability map</w:t>
            </w:r>
          </w:p>
        </w:tc>
        <w:tc>
          <w:tcPr>
            <w:tcW w:type="dxa" w:w="2520"/>
            <w:vAlign w:val="center"/>
          </w:tcPr>
          <w:p>
            <w:pPr>
              <w:spacing w:after="40"/>
            </w:pPr>
            <w:r>
              <w:rPr>
                <w:rFonts w:ascii="Microsoft YaHei" w:hAnsi="Microsoft YaHei" w:eastAsia="Microsoft YaHei"/>
                <w:sz w:val="18"/>
              </w:rPr>
              <w:t>让 Agent 通过声明式工具访问数据、流程和草稿</w:t>
            </w:r>
          </w:p>
        </w:tc>
        <w:tc>
          <w:tcPr>
            <w:tcW w:type="dxa" w:w="2376"/>
            <w:vAlign w:val="center"/>
          </w:tcPr>
          <w:p>
            <w:pPr>
              <w:spacing w:after="40"/>
            </w:pPr>
            <w:r>
              <w:rPr>
                <w:rFonts w:ascii="Microsoft YaHei" w:hAnsi="Microsoft YaHei" w:eastAsia="Microsoft YaHei"/>
                <w:sz w:val="18"/>
              </w:rPr>
              <w:t>工具权限、参数校验、审计日志</w:t>
            </w:r>
          </w:p>
        </w:tc>
      </w:tr>
      <w:tr>
        <w:tc>
          <w:tcPr>
            <w:tcW w:type="dxa" w:w="1944"/>
            <w:vAlign w:val="center"/>
          </w:tcPr>
          <w:p>
            <w:pPr>
              <w:spacing w:after="40"/>
            </w:pPr>
            <w:r>
              <w:rPr>
                <w:rFonts w:ascii="Microsoft YaHei" w:hAnsi="Microsoft YaHei" w:eastAsia="Microsoft YaHei"/>
                <w:sz w:val="18"/>
              </w:rPr>
              <w:t>Smart BI</w:t>
            </w:r>
          </w:p>
        </w:tc>
        <w:tc>
          <w:tcPr>
            <w:tcW w:type="dxa" w:w="2520"/>
            <w:vAlign w:val="center"/>
          </w:tcPr>
          <w:p>
            <w:pPr>
              <w:spacing w:after="40"/>
            </w:pPr>
            <w:r>
              <w:rPr>
                <w:rFonts w:ascii="Microsoft YaHei" w:hAnsi="Microsoft YaHei" w:eastAsia="Microsoft YaHei"/>
                <w:sz w:val="18"/>
              </w:rPr>
              <w:t>smart-bi 回归测试和 action closure patch</w:t>
            </w:r>
          </w:p>
        </w:tc>
        <w:tc>
          <w:tcPr>
            <w:tcW w:type="dxa" w:w="2520"/>
            <w:vAlign w:val="center"/>
          </w:tcPr>
          <w:p>
            <w:pPr>
              <w:spacing w:after="40"/>
            </w:pPr>
            <w:r>
              <w:rPr>
                <w:rFonts w:ascii="Microsoft YaHei" w:hAnsi="Microsoft YaHei" w:eastAsia="Microsoft YaHei"/>
                <w:sz w:val="18"/>
              </w:rPr>
              <w:t>面向管理者解释指标、风险和行动项</w:t>
            </w:r>
          </w:p>
        </w:tc>
        <w:tc>
          <w:tcPr>
            <w:tcW w:type="dxa" w:w="2376"/>
            <w:vAlign w:val="center"/>
          </w:tcPr>
          <w:p>
            <w:pPr>
              <w:spacing w:after="40"/>
            </w:pPr>
            <w:r>
              <w:rPr>
                <w:rFonts w:ascii="Microsoft YaHei" w:hAnsi="Microsoft YaHei" w:eastAsia="Microsoft YaHei"/>
                <w:sz w:val="18"/>
              </w:rPr>
              <w:t>口径元数据、样本行、SQL/RPC 受控</w:t>
            </w:r>
          </w:p>
        </w:tc>
      </w:tr>
      <w:tr>
        <w:tc>
          <w:tcPr>
            <w:tcW w:type="dxa" w:w="1944"/>
            <w:vAlign w:val="center"/>
          </w:tcPr>
          <w:p>
            <w:pPr>
              <w:spacing w:after="40"/>
            </w:pPr>
            <w:r>
              <w:rPr>
                <w:rFonts w:ascii="Microsoft YaHei" w:hAnsi="Microsoft YaHei" w:eastAsia="Microsoft YaHei"/>
                <w:sz w:val="18"/>
              </w:rPr>
              <w:t>Grid Agent</w:t>
            </w:r>
          </w:p>
        </w:tc>
        <w:tc>
          <w:tcPr>
            <w:tcW w:type="dxa" w:w="2520"/>
            <w:vAlign w:val="center"/>
          </w:tcPr>
          <w:p>
            <w:pPr>
              <w:spacing w:after="40"/>
            </w:pPr>
            <w:r>
              <w:rPr>
                <w:rFonts w:ascii="Microsoft YaHei" w:hAnsi="Microsoft YaHei" w:eastAsia="Microsoft YaHei"/>
                <w:sz w:val="18"/>
              </w:rPr>
              <w:t>grid-agent/query-regression</w:t>
            </w:r>
          </w:p>
        </w:tc>
        <w:tc>
          <w:tcPr>
            <w:tcW w:type="dxa" w:w="2520"/>
            <w:vAlign w:val="center"/>
          </w:tcPr>
          <w:p>
            <w:pPr>
              <w:spacing w:after="40"/>
            </w:pPr>
            <w:r>
              <w:rPr>
                <w:rFonts w:ascii="Microsoft YaHei" w:hAnsi="Microsoft YaHei" w:eastAsia="Microsoft YaHei"/>
                <w:sz w:val="18"/>
              </w:rPr>
              <w:t>对表格做中文查询、汇总、分组和抽样</w:t>
            </w:r>
          </w:p>
        </w:tc>
        <w:tc>
          <w:tcPr>
            <w:tcW w:type="dxa" w:w="2376"/>
            <w:vAlign w:val="center"/>
          </w:tcPr>
          <w:p>
            <w:pPr>
              <w:spacing w:after="40"/>
            </w:pPr>
            <w:r>
              <w:rPr>
                <w:rFonts w:ascii="Microsoft YaHei" w:hAnsi="Microsoft YaHei" w:eastAsia="Microsoft YaHei"/>
                <w:sz w:val="18"/>
              </w:rPr>
              <w:t>限制查询范围、分页、只读默认</w:t>
            </w:r>
          </w:p>
        </w:tc>
      </w:tr>
      <w:tr>
        <w:tc>
          <w:tcPr>
            <w:tcW w:type="dxa" w:w="1944"/>
            <w:vAlign w:val="center"/>
          </w:tcPr>
          <w:p>
            <w:pPr>
              <w:spacing w:after="40"/>
            </w:pPr>
            <w:r>
              <w:rPr>
                <w:rFonts w:ascii="Microsoft YaHei" w:hAnsi="Microsoft YaHei" w:eastAsia="Microsoft YaHei"/>
                <w:sz w:val="18"/>
              </w:rPr>
              <w:t>Workflow Engine</w:t>
            </w:r>
          </w:p>
        </w:tc>
        <w:tc>
          <w:tcPr>
            <w:tcW w:type="dxa" w:w="2520"/>
            <w:vAlign w:val="center"/>
          </w:tcPr>
          <w:p>
            <w:pPr>
              <w:spacing w:after="40"/>
            </w:pPr>
            <w:r>
              <w:rPr>
                <w:rFonts w:ascii="Microsoft YaHei" w:hAnsi="Microsoft YaHei" w:eastAsia="Microsoft YaHei"/>
                <w:sz w:val="18"/>
              </w:rPr>
              <w:t>workflow-engine.js 和 workflow_event</w:t>
            </w:r>
          </w:p>
        </w:tc>
        <w:tc>
          <w:tcPr>
            <w:tcW w:type="dxa" w:w="2520"/>
            <w:vAlign w:val="center"/>
          </w:tcPr>
          <w:p>
            <w:pPr>
              <w:spacing w:after="40"/>
            </w:pPr>
            <w:r>
              <w:rPr>
                <w:rFonts w:ascii="Microsoft YaHei" w:hAnsi="Microsoft YaHei" w:eastAsia="Microsoft YaHei"/>
                <w:sz w:val="18"/>
              </w:rPr>
              <w:t>流程自动流转、任务分派和状态同步</w:t>
            </w:r>
          </w:p>
        </w:tc>
        <w:tc>
          <w:tcPr>
            <w:tcW w:type="dxa" w:w="2376"/>
            <w:vAlign w:val="center"/>
          </w:tcPr>
          <w:p>
            <w:pPr>
              <w:spacing w:after="40"/>
            </w:pPr>
            <w:r>
              <w:rPr>
                <w:rFonts w:ascii="Microsoft YaHei" w:hAnsi="Microsoft YaHei" w:eastAsia="Microsoft YaHei"/>
                <w:sz w:val="18"/>
              </w:rPr>
              <w:t>幂等、权限、人工确认</w:t>
            </w:r>
          </w:p>
        </w:tc>
      </w:tr>
      <w:tr>
        <w:tc>
          <w:tcPr>
            <w:tcW w:type="dxa" w:w="1944"/>
            <w:vAlign w:val="center"/>
          </w:tcPr>
          <w:p>
            <w:pPr>
              <w:spacing w:after="40"/>
            </w:pPr>
            <w:r>
              <w:rPr>
                <w:rFonts w:ascii="Microsoft YaHei" w:hAnsi="Microsoft YaHei" w:eastAsia="Microsoft YaHei"/>
                <w:sz w:val="18"/>
              </w:rPr>
              <w:t>Document Workers</w:t>
            </w:r>
          </w:p>
        </w:tc>
        <w:tc>
          <w:tcPr>
            <w:tcW w:type="dxa" w:w="2520"/>
            <w:vAlign w:val="center"/>
          </w:tcPr>
          <w:p>
            <w:pPr>
              <w:spacing w:after="40"/>
            </w:pPr>
            <w:r>
              <w:rPr>
                <w:rFonts w:ascii="Microsoft YaHei" w:hAnsi="Microsoft YaHei" w:eastAsia="Microsoft YaHei"/>
                <w:sz w:val="18"/>
              </w:rPr>
              <w:t>document-parser/planner/entry/fixed-entry</w:t>
            </w:r>
          </w:p>
        </w:tc>
        <w:tc>
          <w:tcPr>
            <w:tcW w:type="dxa" w:w="2520"/>
            <w:vAlign w:val="center"/>
          </w:tcPr>
          <w:p>
            <w:pPr>
              <w:spacing w:after="40"/>
            </w:pPr>
            <w:r>
              <w:rPr>
                <w:rFonts w:ascii="Microsoft YaHei" w:hAnsi="Microsoft YaHei" w:eastAsia="Microsoft YaHei"/>
                <w:sz w:val="18"/>
              </w:rPr>
              <w:t>资料解析、计划和自动入库</w:t>
            </w:r>
          </w:p>
        </w:tc>
        <w:tc>
          <w:tcPr>
            <w:tcW w:type="dxa" w:w="2376"/>
            <w:vAlign w:val="center"/>
          </w:tcPr>
          <w:p>
            <w:pPr>
              <w:spacing w:after="40"/>
            </w:pPr>
            <w:r>
              <w:rPr>
                <w:rFonts w:ascii="Microsoft YaHei" w:hAnsi="Microsoft YaHei" w:eastAsia="Microsoft YaHei"/>
                <w:sz w:val="18"/>
              </w:rPr>
              <w:t>保留原始证据、可修改、可关闭自动入库</w:t>
            </w:r>
          </w:p>
        </w:tc>
      </w:tr>
      <w:tr>
        <w:tc>
          <w:tcPr>
            <w:tcW w:type="dxa" w:w="1944"/>
            <w:vAlign w:val="center"/>
          </w:tcPr>
          <w:p>
            <w:pPr>
              <w:spacing w:after="40"/>
            </w:pPr>
            <w:r>
              <w:rPr>
                <w:rFonts w:ascii="Microsoft YaHei" w:hAnsi="Microsoft YaHei" w:eastAsia="Microsoft YaHei"/>
                <w:sz w:val="18"/>
              </w:rPr>
              <w:t>File/Workspace</w:t>
            </w:r>
          </w:p>
        </w:tc>
        <w:tc>
          <w:tcPr>
            <w:tcW w:type="dxa" w:w="2520"/>
            <w:vAlign w:val="center"/>
          </w:tcPr>
          <w:p>
            <w:pPr>
              <w:spacing w:after="40"/>
            </w:pPr>
            <w:r>
              <w:rPr>
                <w:rFonts w:ascii="Microsoft YaHei" w:hAnsi="Microsoft YaHei" w:eastAsia="Microsoft YaHei"/>
                <w:sz w:val="18"/>
              </w:rPr>
              <w:t>workspace mount 和 code-server 草稿目录</w:t>
            </w:r>
          </w:p>
        </w:tc>
        <w:tc>
          <w:tcPr>
            <w:tcW w:type="dxa" w:w="2520"/>
            <w:vAlign w:val="center"/>
          </w:tcPr>
          <w:p>
            <w:pPr>
              <w:spacing w:after="40"/>
            </w:pPr>
            <w:r>
              <w:rPr>
                <w:rFonts w:ascii="Microsoft YaHei" w:hAnsi="Microsoft YaHei" w:eastAsia="Microsoft YaHei"/>
                <w:sz w:val="18"/>
              </w:rPr>
              <w:t>支持受控生成和配置</w:t>
            </w:r>
          </w:p>
        </w:tc>
        <w:tc>
          <w:tcPr>
            <w:tcW w:type="dxa" w:w="2376"/>
            <w:vAlign w:val="center"/>
          </w:tcPr>
          <w:p>
            <w:pPr>
              <w:spacing w:after="40"/>
            </w:pPr>
            <w:r>
              <w:rPr>
                <w:rFonts w:ascii="Microsoft YaHei" w:hAnsi="Microsoft YaHei" w:eastAsia="Microsoft YaHei"/>
                <w:sz w:val="18"/>
              </w:rPr>
              <w:t>限定目录、避免直接改工程核心文件</w:t>
            </w:r>
          </w:p>
        </w:tc>
      </w:tr>
    </w:tbl>
    <w:p/>
    <w:p>
      <w:pPr>
        <w:pStyle w:val="Heading1"/>
      </w:pPr>
      <w:r>
        <w:rPr>
          <w:rFonts w:ascii="Microsoft YaHei" w:hAnsi="Microsoft YaHei" w:eastAsia="Microsoft YaHei"/>
          <w:b/>
          <w:color w:val="2E74B5"/>
          <w:sz w:val="32"/>
        </w:rPr>
        <w:t>10 固定业务模块现状</w:t>
      </w:r>
    </w:p>
    <w:p>
      <w:pPr>
        <w:spacing w:after="120" w:line="276" w:lineRule="auto"/>
        <w:ind w:firstLine="403"/>
      </w:pPr>
      <w:r>
        <w:rPr>
          <w:rFonts w:ascii="Microsoft YaHei" w:hAnsi="Microsoft YaHei" w:eastAsia="Microsoft YaHei"/>
          <w:sz w:val="21"/>
        </w:rPr>
        <w:t>固定业务模块是 EISCore 的业务骨架。虽然系统强调动态应用和平台化配置，但制造企业核心业务仍然需要一批稳定模块承载：基座、人事、仓储、销售、采购、生产、质量、设备和决策。这些模块形成从组织、客户、供应商、物料、库存、订单、工单、检验、设备到管理报表的完整业务链。</w:t>
      </w:r>
    </w:p>
    <w:p>
      <w:pPr>
        <w:spacing w:after="120" w:line="276" w:lineRule="auto"/>
        <w:ind w:firstLine="403"/>
      </w:pPr>
      <w:r>
        <w:rPr>
          <w:rFonts w:ascii="Microsoft YaHei" w:hAnsi="Microsoft YaHei" w:eastAsia="Microsoft YaHei"/>
          <w:sz w:val="21"/>
        </w:rPr>
        <w:t>固定模块和动态应用不是对立关系。固定模块解决共性高、流程稳定、数据一致性要求强的业务；动态应用解决企业差异字段、临时台账、个性流程和快速试点。AI 自动入单也应分两类处理：成熟单据优先写入固定模块，无法归类或企业特有资料可以写入动态应用或资料台账。</w:t>
      </w:r>
    </w:p>
    <w:p>
      <w:pPr>
        <w:pStyle w:val="Heading2"/>
      </w:pPr>
      <w:r>
        <w:rPr>
          <w:rFonts w:ascii="Microsoft YaHei" w:hAnsi="Microsoft YaHei" w:eastAsia="Microsoft YaHei"/>
          <w:b/>
          <w:color w:val="2E74B5"/>
          <w:sz w:val="26"/>
        </w:rPr>
        <w:t>10.1 基座与通用平台</w:t>
      </w:r>
    </w:p>
    <w:p>
      <w:pPr>
        <w:spacing w:after="120" w:line="276" w:lineRule="auto"/>
        <w:ind w:firstLine="403"/>
      </w:pPr>
      <w:r>
        <w:rPr>
          <w:rFonts w:ascii="Microsoft YaHei" w:hAnsi="Microsoft YaHei" w:eastAsia="Microsoft YaHei"/>
          <w:sz w:val="21"/>
        </w:rPr>
        <w:t>基座是所有 PC 端业务模块的入口。它承载登录后首页、侧边栏、模块入口、多标签页、系统设置、工作台、业务流程图、通用表格能力和 AI Copilot。对企业用户来说，基座决定了系统是否像一个整体，而不是一组零散页面。</w:t>
      </w:r>
    </w:p>
    <w:p>
      <w:pPr>
        <w:spacing w:after="120" w:line="276" w:lineRule="auto"/>
        <w:ind w:firstLine="403"/>
      </w:pPr>
      <w:r>
        <w:rPr>
          <w:rFonts w:ascii="Microsoft YaHei" w:hAnsi="Microsoft YaHei" w:eastAsia="Microsoft YaHei"/>
          <w:sz w:val="21"/>
        </w:rPr>
        <w:t>基座的技术意义在于统一权限、导航、主题、接口客户端、错误提示和跨模块跳转。多个子应用独立构建后，如果没有基座约束，就容易出现按钮风格、表格行为、登录态、权限提示和异常处理不一致的问题。当前系统将基座作为 Nginx 静态资源挂载对象，说明生产入口以基座为主。</w:t>
      </w:r>
    </w:p>
    <w:p>
      <w:pPr>
        <w:spacing w:after="120" w:line="276" w:lineRule="auto"/>
        <w:ind w:firstLine="403"/>
      </w:pPr>
      <w:r>
        <w:rPr>
          <w:rFonts w:ascii="Microsoft YaHei" w:hAnsi="Microsoft YaHei" w:eastAsia="Microsoft YaHei"/>
          <w:sz w:val="21"/>
        </w:rPr>
        <w:t>后续基座应继续加强三类能力：一是统一错误捕获和前端日志上报，二是统一动态路由和应用中心发布入口，三是统一 AI Copilot 与业务页面上下文的联动。这样无论用户来自销售、采购还是仓储，系统都能以一致方式提供帮助和追溯。</w:t>
      </w:r>
    </w:p>
    <w:tbl>
      <w:tblPr>
        <w:tblW w:type="auto" w:w="0"/>
        <w:jc w:val="center"/>
        <w:tblLook w:firstColumn="1" w:firstRow="1" w:lastColumn="0" w:lastRow="0" w:noHBand="0" w:noVBand="1" w:val="04A0"/>
        <w:tblBorders>
          <w:top w:val="single" w:sz="8" w:space="0" w:color="B7C7D8"/>
          <w:left w:val="single" w:sz="8" w:space="0" w:color="B7C7D8"/>
          <w:bottom w:val="single" w:sz="8" w:space="0" w:color="B7C7D8"/>
          <w:right w:val="single" w:sz="8" w:space="0" w:color="B7C7D8"/>
          <w:insideH w:val="single" w:sz="8" w:space="0" w:color="B7C7D8"/>
          <w:insideV w:val="single" w:sz="8" w:space="0" w:color="B7C7D8"/>
        </w:tblBorders>
      </w:tblPr>
      <w:tblGrid>
        <w:gridCol w:w="9360"/>
      </w:tblGrid>
      <w:tr>
        <w:tc>
          <w:tcPr>
            <w:tcW w:type="dxa" w:w="9360"/>
            <w:shd w:fill="F4F6F9"/>
          </w:tcPr>
          <w:p>
            <w:pPr>
              <w:spacing w:after="40"/>
            </w:pPr>
            <w:r>
              <w:rPr>
                <w:rFonts w:ascii="Microsoft YaHei" w:hAnsi="Microsoft YaHei" w:eastAsia="Microsoft YaHei"/>
                <w:b/>
                <w:color w:val="1F4D78"/>
                <w:sz w:val="20"/>
              </w:rPr>
              <w:t>模块治理建议：</w:t>
            </w:r>
            <w:r>
              <w:rPr>
                <w:rFonts w:ascii="Microsoft YaHei" w:hAnsi="Microsoft YaHei" w:eastAsia="Microsoft YaHei"/>
                <w:sz w:val="20"/>
              </w:rPr>
              <w:t>eiscore-base 后续新增字段、页面或统计口径时，应同步补充接口说明、语义标注、权限规则和回归用例。这样模块能力不仅能被用户操作，也能被应用中心、工作流、Smart BI 和 Agent 正确理解。</w:t>
            </w:r>
          </w:p>
        </w:tc>
      </w:tr>
    </w:tbl>
    <w:p/>
    <w:p>
      <w:pPr>
        <w:pStyle w:val="Heading2"/>
      </w:pPr>
      <w:r>
        <w:rPr>
          <w:rFonts w:ascii="Microsoft YaHei" w:hAnsi="Microsoft YaHei" w:eastAsia="Microsoft YaHei"/>
          <w:b/>
          <w:color w:val="2E74B5"/>
          <w:sz w:val="26"/>
        </w:rPr>
        <w:t>10.2 人事管理 HMS</w:t>
      </w:r>
    </w:p>
    <w:p>
      <w:pPr>
        <w:spacing w:after="120" w:line="276" w:lineRule="auto"/>
        <w:ind w:firstLine="403"/>
      </w:pPr>
      <w:r>
        <w:rPr>
          <w:rFonts w:ascii="Microsoft YaHei" w:hAnsi="Microsoft YaHei" w:eastAsia="Microsoft YaHei"/>
          <w:sz w:val="21"/>
        </w:rPr>
        <w:t>人事模块在制造企业系统中经常被低估，但它是权限、流程和责任归属的基础。员工、部门、岗位、角色和考勤数据不仅服务人事管理本身，也服务审批流、采集端默认上传用户、业务单据负责人和统计维度。</w:t>
      </w:r>
    </w:p>
    <w:p>
      <w:pPr>
        <w:spacing w:after="120" w:line="276" w:lineRule="auto"/>
        <w:ind w:firstLine="403"/>
      </w:pPr>
      <w:r>
        <w:rPr>
          <w:rFonts w:ascii="Microsoft YaHei" w:hAnsi="Microsoft YaHei" w:eastAsia="Microsoft YaHei"/>
          <w:sz w:val="21"/>
        </w:rPr>
        <w:t>在 AI 自动入单场景中，资料来自不同岗位电脑或不同采集设备，系统需要知道上传人、默认岗位、所属部门和可能负责的业务类型。人事模块提供身份和组织基础后，AI 才能把同一张资料归属到正确企业、部门、岗位和业务模块。</w:t>
      </w:r>
    </w:p>
    <w:p>
      <w:pPr>
        <w:spacing w:after="120" w:line="276" w:lineRule="auto"/>
        <w:ind w:firstLine="403"/>
      </w:pPr>
      <w:r>
        <w:rPr>
          <w:rFonts w:ascii="Microsoft YaHei" w:hAnsi="Microsoft YaHei" w:eastAsia="Microsoft YaHei"/>
          <w:sz w:val="21"/>
        </w:rPr>
        <w:t>从架构上看，人事模块应与权限模型保持紧密联动，但不宜把所有权限逻辑写在人事页面里。更好的方式是人事维护基础组织，权限策略、字段权限和工作流办理人规则由平台层统一解释。</w:t>
      </w:r>
    </w:p>
    <w:tbl>
      <w:tblPr>
        <w:tblW w:type="auto" w:w="0"/>
        <w:jc w:val="center"/>
        <w:tblLook w:firstColumn="1" w:firstRow="1" w:lastColumn="0" w:lastRow="0" w:noHBand="0" w:noVBand="1" w:val="04A0"/>
        <w:tblBorders>
          <w:top w:val="single" w:sz="8" w:space="0" w:color="B7C7D8"/>
          <w:left w:val="single" w:sz="8" w:space="0" w:color="B7C7D8"/>
          <w:bottom w:val="single" w:sz="8" w:space="0" w:color="B7C7D8"/>
          <w:right w:val="single" w:sz="8" w:space="0" w:color="B7C7D8"/>
          <w:insideH w:val="single" w:sz="8" w:space="0" w:color="B7C7D8"/>
          <w:insideV w:val="single" w:sz="8" w:space="0" w:color="B7C7D8"/>
        </w:tblBorders>
      </w:tblPr>
      <w:tblGrid>
        <w:gridCol w:w="9360"/>
      </w:tblGrid>
      <w:tr>
        <w:tc>
          <w:tcPr>
            <w:tcW w:type="dxa" w:w="9360"/>
            <w:shd w:fill="F4F6F9"/>
          </w:tcPr>
          <w:p>
            <w:pPr>
              <w:spacing w:after="40"/>
            </w:pPr>
            <w:r>
              <w:rPr>
                <w:rFonts w:ascii="Microsoft YaHei" w:hAnsi="Microsoft YaHei" w:eastAsia="Microsoft YaHei"/>
                <w:b/>
                <w:color w:val="1F4D78"/>
                <w:sz w:val="20"/>
              </w:rPr>
              <w:t>模块治理建议：</w:t>
            </w:r>
            <w:r>
              <w:rPr>
                <w:rFonts w:ascii="Microsoft YaHei" w:hAnsi="Microsoft YaHei" w:eastAsia="Microsoft YaHei"/>
                <w:sz w:val="20"/>
              </w:rPr>
              <w:t>eiscore-hr 后续新增字段、页面或统计口径时，应同步补充接口说明、语义标注、权限规则和回归用例。这样模块能力不仅能被用户操作，也能被应用中心、工作流、Smart BI 和 Agent 正确理解。</w:t>
            </w:r>
          </w:p>
        </w:tc>
      </w:tr>
    </w:tbl>
    <w:p/>
    <w:p>
      <w:pPr>
        <w:pStyle w:val="Heading2"/>
      </w:pPr>
      <w:r>
        <w:rPr>
          <w:rFonts w:ascii="Microsoft YaHei" w:hAnsi="Microsoft YaHei" w:eastAsia="Microsoft YaHei"/>
          <w:b/>
          <w:color w:val="2E74B5"/>
          <w:sz w:val="26"/>
        </w:rPr>
        <w:t>10.3 仓储物料与库存管理</w:t>
      </w:r>
    </w:p>
    <w:p>
      <w:pPr>
        <w:spacing w:after="120" w:line="276" w:lineRule="auto"/>
        <w:ind w:firstLine="403"/>
      </w:pPr>
      <w:r>
        <w:rPr>
          <w:rFonts w:ascii="Microsoft YaHei" w:hAnsi="Microsoft YaHei" w:eastAsia="Microsoft YaHei"/>
          <w:sz w:val="21"/>
        </w:rPr>
        <w:t>仓储物料模块是当前 EISCore 最核心的业务模块之一。它覆盖物料主数据、批次号规则、仓库和库位、库存批次、库存交易、库存盘点、入库、出库、库存查询和大屏统计。制造企业的大量业务最终都会落到物料和库存变化上。</w:t>
      </w:r>
    </w:p>
    <w:p>
      <w:pPr>
        <w:spacing w:after="120" w:line="276" w:lineRule="auto"/>
        <w:ind w:firstLine="403"/>
      </w:pPr>
      <w:r>
        <w:rPr>
          <w:rFonts w:ascii="Microsoft YaHei" w:hAnsi="Microsoft YaHei" w:eastAsia="Microsoft YaHei"/>
          <w:sz w:val="21"/>
        </w:rPr>
        <w:t>库存相关 SQL 中包含 generate_batch_no、stock_in、stock_out、stock_adjust 等函数，说明系统将关键库存变动封装为数据库 RPC。这是正确做法，因为库存变动需要保证一致性、可审计和可重复调用。无论来自前端录入、移动扫码还是 AI 自动入单，都应优先走同一套库存函数。</w:t>
      </w:r>
    </w:p>
    <w:p>
      <w:pPr>
        <w:spacing w:after="120" w:line="276" w:lineRule="auto"/>
        <w:ind w:firstLine="403"/>
      </w:pPr>
      <w:r>
        <w:rPr>
          <w:rFonts w:ascii="Microsoft YaHei" w:hAnsi="Microsoft YaHei" w:eastAsia="Microsoft YaHei"/>
          <w:sz w:val="21"/>
        </w:rPr>
        <w:t>仓储模块也是 AI 自动入单 MVP 的好切入点。工厂现场常见采购入库单、送货单、领料单、退料单、盘点表等资料，结构相对明确，识别错误后也可以通过库存调整、审核或修正记录处理。当前 document-fixed-entry 已覆盖采购入库单字段识别和 stock-in RPC payload，是很实际的实现基础。</w:t>
      </w:r>
    </w:p>
    <w:tbl>
      <w:tblPr>
        <w:tblW w:type="auto" w:w="0"/>
        <w:jc w:val="center"/>
        <w:tblLook w:firstColumn="1" w:firstRow="1" w:lastColumn="0" w:lastRow="0" w:noHBand="0" w:noVBand="1" w:val="04A0"/>
        <w:tblBorders>
          <w:top w:val="single" w:sz="8" w:space="0" w:color="B7C7D8"/>
          <w:left w:val="single" w:sz="8" w:space="0" w:color="B7C7D8"/>
          <w:bottom w:val="single" w:sz="8" w:space="0" w:color="B7C7D8"/>
          <w:right w:val="single" w:sz="8" w:space="0" w:color="B7C7D8"/>
          <w:insideH w:val="single" w:sz="8" w:space="0" w:color="B7C7D8"/>
          <w:insideV w:val="single" w:sz="8" w:space="0" w:color="B7C7D8"/>
        </w:tblBorders>
      </w:tblPr>
      <w:tblGrid>
        <w:gridCol w:w="9360"/>
      </w:tblGrid>
      <w:tr>
        <w:tc>
          <w:tcPr>
            <w:tcW w:type="dxa" w:w="9360"/>
            <w:shd w:fill="F4F6F9"/>
          </w:tcPr>
          <w:p>
            <w:pPr>
              <w:spacing w:after="40"/>
            </w:pPr>
            <w:r>
              <w:rPr>
                <w:rFonts w:ascii="Microsoft YaHei" w:hAnsi="Microsoft YaHei" w:eastAsia="Microsoft YaHei"/>
                <w:b/>
                <w:color w:val="1F4D78"/>
                <w:sz w:val="20"/>
              </w:rPr>
              <w:t>模块治理建议：</w:t>
            </w:r>
            <w:r>
              <w:rPr>
                <w:rFonts w:ascii="Microsoft YaHei" w:hAnsi="Microsoft YaHei" w:eastAsia="Microsoft YaHei"/>
                <w:sz w:val="20"/>
              </w:rPr>
              <w:t>eiscore-materials / scm 后续新增字段、页面或统计口径时，应同步补充接口说明、语义标注、权限规则和回归用例。这样模块能力不仅能被用户操作，也能被应用中心、工作流、Smart BI 和 Agent 正确理解。</w:t>
            </w:r>
          </w:p>
        </w:tc>
      </w:tr>
    </w:tbl>
    <w:p/>
    <w:p>
      <w:pPr>
        <w:pStyle w:val="Heading2"/>
      </w:pPr>
      <w:r>
        <w:rPr>
          <w:rFonts w:ascii="Microsoft YaHei" w:hAnsi="Microsoft YaHei" w:eastAsia="Microsoft YaHei"/>
          <w:b/>
          <w:color w:val="2E74B5"/>
          <w:sz w:val="26"/>
        </w:rPr>
        <w:t>10.4 销售管理</w:t>
      </w:r>
    </w:p>
    <w:p>
      <w:pPr>
        <w:spacing w:after="120" w:line="276" w:lineRule="auto"/>
        <w:ind w:firstLine="403"/>
      </w:pPr>
      <w:r>
        <w:rPr>
          <w:rFonts w:ascii="Microsoft YaHei" w:hAnsi="Microsoft YaHei" w:eastAsia="Microsoft YaHei"/>
          <w:sz w:val="21"/>
        </w:rPr>
        <w:t>销售模块覆盖客户档案、销售商机、销售订单、销售出货申请、回款记录和销售驾驶舱。它位于业务链路前端，决定生产和采购需求的源头质量。销售数据不只是订单记录，还会影响生产计划、库存预留、发货、回款和管理层预测。</w:t>
      </w:r>
    </w:p>
    <w:p>
      <w:pPr>
        <w:spacing w:after="120" w:line="276" w:lineRule="auto"/>
        <w:ind w:firstLine="403"/>
      </w:pPr>
      <w:r>
        <w:rPr>
          <w:rFonts w:ascii="Microsoft YaHei" w:hAnsi="Microsoft YaHei" w:eastAsia="Microsoft YaHei"/>
          <w:sz w:val="21"/>
        </w:rPr>
        <w:t>销售模块与工作流结合后，可以把报价、订单确认、出货申请、信用审核和回款跟踪纳入审批或任务办理。与 Smart BI 结合后，可以按客户、产品、区域、订单状态和回款状态形成驾驶舱。</w:t>
      </w:r>
    </w:p>
    <w:p>
      <w:pPr>
        <w:spacing w:after="120" w:line="276" w:lineRule="auto"/>
        <w:ind w:firstLine="403"/>
      </w:pPr>
      <w:r>
        <w:rPr>
          <w:rFonts w:ascii="Microsoft YaHei" w:hAnsi="Microsoft YaHei" w:eastAsia="Microsoft YaHei"/>
          <w:sz w:val="21"/>
        </w:rPr>
        <w:t>在智能收单场景中，销售合同、客户订单、发货通知、回款截图等资料都可能被识别成销售相关单据。系统需要通过客户名称、订单号、产品明细、金额、日期和附件来源判断目标业务类型，并在无法确定时保留证据和备注。</w:t>
      </w:r>
    </w:p>
    <w:tbl>
      <w:tblPr>
        <w:tblW w:type="auto" w:w="0"/>
        <w:jc w:val="center"/>
        <w:tblLook w:firstColumn="1" w:firstRow="1" w:lastColumn="0" w:lastRow="0" w:noHBand="0" w:noVBand="1" w:val="04A0"/>
        <w:tblBorders>
          <w:top w:val="single" w:sz="8" w:space="0" w:color="B7C7D8"/>
          <w:left w:val="single" w:sz="8" w:space="0" w:color="B7C7D8"/>
          <w:bottom w:val="single" w:sz="8" w:space="0" w:color="B7C7D8"/>
          <w:right w:val="single" w:sz="8" w:space="0" w:color="B7C7D8"/>
          <w:insideH w:val="single" w:sz="8" w:space="0" w:color="B7C7D8"/>
          <w:insideV w:val="single" w:sz="8" w:space="0" w:color="B7C7D8"/>
        </w:tblBorders>
      </w:tblPr>
      <w:tblGrid>
        <w:gridCol w:w="9360"/>
      </w:tblGrid>
      <w:tr>
        <w:tc>
          <w:tcPr>
            <w:tcW w:type="dxa" w:w="9360"/>
            <w:shd w:fill="F4F6F9"/>
          </w:tcPr>
          <w:p>
            <w:pPr>
              <w:spacing w:after="40"/>
            </w:pPr>
            <w:r>
              <w:rPr>
                <w:rFonts w:ascii="Microsoft YaHei" w:hAnsi="Microsoft YaHei" w:eastAsia="Microsoft YaHei"/>
                <w:b/>
                <w:color w:val="1F4D78"/>
                <w:sz w:val="20"/>
              </w:rPr>
              <w:t>模块治理建议：</w:t>
            </w:r>
            <w:r>
              <w:rPr>
                <w:rFonts w:ascii="Microsoft YaHei" w:hAnsi="Microsoft YaHei" w:eastAsia="Microsoft YaHei"/>
                <w:sz w:val="20"/>
              </w:rPr>
              <w:t>eiscore-sales 后续新增字段、页面或统计口径时，应同步补充接口说明、语义标注、权限规则和回归用例。这样模块能力不仅能被用户操作，也能被应用中心、工作流、Smart BI 和 Agent 正确理解。</w:t>
            </w:r>
          </w:p>
        </w:tc>
      </w:tr>
    </w:tbl>
    <w:p/>
    <w:p>
      <w:pPr>
        <w:pStyle w:val="Heading2"/>
      </w:pPr>
      <w:r>
        <w:rPr>
          <w:rFonts w:ascii="Microsoft YaHei" w:hAnsi="Microsoft YaHei" w:eastAsia="Microsoft YaHei"/>
          <w:b/>
          <w:color w:val="2E74B5"/>
          <w:sz w:val="26"/>
        </w:rPr>
        <w:t>10.5 采购管理</w:t>
      </w:r>
    </w:p>
    <w:p>
      <w:pPr>
        <w:spacing w:after="120" w:line="276" w:lineRule="auto"/>
        <w:ind w:firstLine="403"/>
      </w:pPr>
      <w:r>
        <w:rPr>
          <w:rFonts w:ascii="Microsoft YaHei" w:hAnsi="Microsoft YaHei" w:eastAsia="Microsoft YaHei"/>
          <w:sz w:val="21"/>
        </w:rPr>
        <w:t>采购模块覆盖供应商档案、采购需求、采购订单、到货跟踪和采购驾驶舱。它连接生产需求和仓储入库，是制造企业成本、交期和物料保障的重要环节。</w:t>
      </w:r>
    </w:p>
    <w:p>
      <w:pPr>
        <w:spacing w:after="120" w:line="276" w:lineRule="auto"/>
        <w:ind w:firstLine="403"/>
      </w:pPr>
      <w:r>
        <w:rPr>
          <w:rFonts w:ascii="Microsoft YaHei" w:hAnsi="Microsoft YaHei" w:eastAsia="Microsoft YaHei"/>
          <w:sz w:val="21"/>
        </w:rPr>
        <w:t>采购数据与仓储模块关系紧密：采购订单会产生到货计划，到货后可能进入采购入库，质量检验可能决定是否合格入库，库存批次又影响后续生产领料。系统需要在采购、质量、仓储之间建立清晰的单据关联。</w:t>
      </w:r>
    </w:p>
    <w:p>
      <w:pPr>
        <w:spacing w:after="120" w:line="276" w:lineRule="auto"/>
        <w:ind w:firstLine="403"/>
      </w:pPr>
      <w:r>
        <w:rPr>
          <w:rFonts w:ascii="Microsoft YaHei" w:hAnsi="Microsoft YaHei" w:eastAsia="Microsoft YaHei"/>
          <w:sz w:val="21"/>
        </w:rPr>
        <w:t>AI 自动入单最容易先落地的资料之一就是供应商送货单和采购入库相关单据。当前固定入库 worker 已经将采购入库作为示例，这说明采购模块既是业务价值高的模块，也是自动化试点风险可控的模块。</w:t>
      </w:r>
    </w:p>
    <w:tbl>
      <w:tblPr>
        <w:tblW w:type="auto" w:w="0"/>
        <w:jc w:val="center"/>
        <w:tblLook w:firstColumn="1" w:firstRow="1" w:lastColumn="0" w:lastRow="0" w:noHBand="0" w:noVBand="1" w:val="04A0"/>
        <w:tblBorders>
          <w:top w:val="single" w:sz="8" w:space="0" w:color="B7C7D8"/>
          <w:left w:val="single" w:sz="8" w:space="0" w:color="B7C7D8"/>
          <w:bottom w:val="single" w:sz="8" w:space="0" w:color="B7C7D8"/>
          <w:right w:val="single" w:sz="8" w:space="0" w:color="B7C7D8"/>
          <w:insideH w:val="single" w:sz="8" w:space="0" w:color="B7C7D8"/>
          <w:insideV w:val="single" w:sz="8" w:space="0" w:color="B7C7D8"/>
        </w:tblBorders>
      </w:tblPr>
      <w:tblGrid>
        <w:gridCol w:w="9360"/>
      </w:tblGrid>
      <w:tr>
        <w:tc>
          <w:tcPr>
            <w:tcW w:type="dxa" w:w="9360"/>
            <w:shd w:fill="F4F6F9"/>
          </w:tcPr>
          <w:p>
            <w:pPr>
              <w:spacing w:after="40"/>
            </w:pPr>
            <w:r>
              <w:rPr>
                <w:rFonts w:ascii="Microsoft YaHei" w:hAnsi="Microsoft YaHei" w:eastAsia="Microsoft YaHei"/>
                <w:b/>
                <w:color w:val="1F4D78"/>
                <w:sz w:val="20"/>
              </w:rPr>
              <w:t>模块治理建议：</w:t>
            </w:r>
            <w:r>
              <w:rPr>
                <w:rFonts w:ascii="Microsoft YaHei" w:hAnsi="Microsoft YaHei" w:eastAsia="Microsoft YaHei"/>
                <w:sz w:val="20"/>
              </w:rPr>
              <w:t>eiscore-purchase 后续新增字段、页面或统计口径时，应同步补充接口说明、语义标注、权限规则和回归用例。这样模块能力不仅能被用户操作，也能被应用中心、工作流、Smart BI 和 Agent 正确理解。</w:t>
            </w:r>
          </w:p>
        </w:tc>
      </w:tr>
    </w:tbl>
    <w:p/>
    <w:p>
      <w:pPr>
        <w:pStyle w:val="Heading2"/>
      </w:pPr>
      <w:r>
        <w:rPr>
          <w:rFonts w:ascii="Microsoft YaHei" w:hAnsi="Microsoft YaHei" w:eastAsia="Microsoft YaHei"/>
          <w:b/>
          <w:color w:val="2E74B5"/>
          <w:sz w:val="26"/>
        </w:rPr>
        <w:t>10.6 生产管理</w:t>
      </w:r>
    </w:p>
    <w:p>
      <w:pPr>
        <w:spacing w:after="120" w:line="276" w:lineRule="auto"/>
        <w:ind w:firstLine="403"/>
      </w:pPr>
      <w:r>
        <w:rPr>
          <w:rFonts w:ascii="Microsoft YaHei" w:hAnsi="Microsoft YaHei" w:eastAsia="Microsoft YaHei"/>
          <w:sz w:val="21"/>
        </w:rPr>
        <w:t>生产模块覆盖产品配方/BOM、生产建议、生产工单、生产领料与齐套、生产总览。它体现了 EISCore 作为制造企业系统的核心价值：不是只管进销存，而是要把订单、物料、工序、工单和质量关联起来。</w:t>
      </w:r>
    </w:p>
    <w:p>
      <w:pPr>
        <w:spacing w:after="120" w:line="276" w:lineRule="auto"/>
        <w:ind w:firstLine="403"/>
      </w:pPr>
      <w:r>
        <w:rPr>
          <w:rFonts w:ascii="Microsoft YaHei" w:hAnsi="Microsoft YaHei" w:eastAsia="Microsoft YaHei"/>
          <w:sz w:val="21"/>
        </w:rPr>
        <w:t>生产模块依赖物料主数据和库存可用性，同时又会反向产生领料、退料、完工入库、过程检验和设备使用记录。任何一个环节的数据不准，都会影响生产总览和管理决策。因此生产模块应尽量通过标准单据和流程记录业务动作。</w:t>
      </w:r>
    </w:p>
    <w:p>
      <w:pPr>
        <w:spacing w:after="120" w:line="276" w:lineRule="auto"/>
        <w:ind w:firstLine="403"/>
      </w:pPr>
      <w:r>
        <w:rPr>
          <w:rFonts w:ascii="Microsoft YaHei" w:hAnsi="Microsoft YaHei" w:eastAsia="Microsoft YaHei"/>
          <w:sz w:val="21"/>
        </w:rPr>
        <w:t>在资料自动入单场景中，生产日报、工单流转卡、领料单、退料单、报工表和异常记录都可能被采集。它们格式比采购入库更复杂，字段手写、图片质量和多单据混合概率更高，适合在第一阶段后半段或第二批模板中逐步纳入。</w:t>
      </w:r>
    </w:p>
    <w:tbl>
      <w:tblPr>
        <w:tblW w:type="auto" w:w="0"/>
        <w:jc w:val="center"/>
        <w:tblLook w:firstColumn="1" w:firstRow="1" w:lastColumn="0" w:lastRow="0" w:noHBand="0" w:noVBand="1" w:val="04A0"/>
        <w:tblBorders>
          <w:top w:val="single" w:sz="8" w:space="0" w:color="B7C7D8"/>
          <w:left w:val="single" w:sz="8" w:space="0" w:color="B7C7D8"/>
          <w:bottom w:val="single" w:sz="8" w:space="0" w:color="B7C7D8"/>
          <w:right w:val="single" w:sz="8" w:space="0" w:color="B7C7D8"/>
          <w:insideH w:val="single" w:sz="8" w:space="0" w:color="B7C7D8"/>
          <w:insideV w:val="single" w:sz="8" w:space="0" w:color="B7C7D8"/>
        </w:tblBorders>
      </w:tblPr>
      <w:tblGrid>
        <w:gridCol w:w="9360"/>
      </w:tblGrid>
      <w:tr>
        <w:tc>
          <w:tcPr>
            <w:tcW w:type="dxa" w:w="9360"/>
            <w:shd w:fill="F4F6F9"/>
          </w:tcPr>
          <w:p>
            <w:pPr>
              <w:spacing w:after="40"/>
            </w:pPr>
            <w:r>
              <w:rPr>
                <w:rFonts w:ascii="Microsoft YaHei" w:hAnsi="Microsoft YaHei" w:eastAsia="Microsoft YaHei"/>
                <w:b/>
                <w:color w:val="1F4D78"/>
                <w:sz w:val="20"/>
              </w:rPr>
              <w:t>模块治理建议：</w:t>
            </w:r>
            <w:r>
              <w:rPr>
                <w:rFonts w:ascii="Microsoft YaHei" w:hAnsi="Microsoft YaHei" w:eastAsia="Microsoft YaHei"/>
                <w:sz w:val="20"/>
              </w:rPr>
              <w:t>eiscore-production 后续新增字段、页面或统计口径时，应同步补充接口说明、语义标注、权限规则和回归用例。这样模块能力不仅能被用户操作，也能被应用中心、工作流、Smart BI 和 Agent 正确理解。</w:t>
            </w:r>
          </w:p>
        </w:tc>
      </w:tr>
    </w:tbl>
    <w:p/>
    <w:p>
      <w:pPr>
        <w:pStyle w:val="Heading2"/>
      </w:pPr>
      <w:r>
        <w:rPr>
          <w:rFonts w:ascii="Microsoft YaHei" w:hAnsi="Microsoft YaHei" w:eastAsia="Microsoft YaHei"/>
          <w:b/>
          <w:color w:val="2E74B5"/>
          <w:sz w:val="26"/>
        </w:rPr>
        <w:t>10.7 质量管理</w:t>
      </w:r>
    </w:p>
    <w:p>
      <w:pPr>
        <w:spacing w:after="120" w:line="276" w:lineRule="auto"/>
        <w:ind w:firstLine="403"/>
      </w:pPr>
      <w:r>
        <w:rPr>
          <w:rFonts w:ascii="Microsoft YaHei" w:hAnsi="Microsoft YaHei" w:eastAsia="Microsoft YaHei"/>
          <w:sz w:val="21"/>
        </w:rPr>
        <w:t>质量模块覆盖检验台账、生产检验、质量异常 NCR、整改任务、质量审核和检验标准。质量数据的特点是证据性强、附件多、状态闭环重要。检验记录不仅要统计合格率，还要能追溯到供应商、批次、工单、设备和责任部门。</w:t>
      </w:r>
    </w:p>
    <w:p>
      <w:pPr>
        <w:spacing w:after="120" w:line="276" w:lineRule="auto"/>
        <w:ind w:firstLine="403"/>
      </w:pPr>
      <w:r>
        <w:rPr>
          <w:rFonts w:ascii="Microsoft YaHei" w:hAnsi="Microsoft YaHei" w:eastAsia="Microsoft YaHei"/>
          <w:sz w:val="21"/>
        </w:rPr>
        <w:t>质量模块与工作流非常适合结合。质量异常通常需要发现、登记、评审、原因分析、整改、验证和关闭，每一步都需要责任人和时间。将 NCR、整改任务和质量审核纳入 workflow，可以让质量闭环不依赖线下催办。</w:t>
      </w:r>
    </w:p>
    <w:p>
      <w:pPr>
        <w:spacing w:after="120" w:line="276" w:lineRule="auto"/>
        <w:ind w:firstLine="403"/>
      </w:pPr>
      <w:r>
        <w:rPr>
          <w:rFonts w:ascii="Microsoft YaHei" w:hAnsi="Microsoft YaHei" w:eastAsia="Microsoft YaHei"/>
          <w:sz w:val="21"/>
        </w:rPr>
        <w:t>AI 资料识别对质量模块的价值很大，但难度也更高。检验报告、图片、扫描件和手写记录可能包含大量非结构化描述。系统应先识别关键字段和结论，把无法映射的内容写入备注和未匹配字段，再由质量人员复核。</w:t>
      </w:r>
    </w:p>
    <w:tbl>
      <w:tblPr>
        <w:tblW w:type="auto" w:w="0"/>
        <w:jc w:val="center"/>
        <w:tblLook w:firstColumn="1" w:firstRow="1" w:lastColumn="0" w:lastRow="0" w:noHBand="0" w:noVBand="1" w:val="04A0"/>
        <w:tblBorders>
          <w:top w:val="single" w:sz="8" w:space="0" w:color="B7C7D8"/>
          <w:left w:val="single" w:sz="8" w:space="0" w:color="B7C7D8"/>
          <w:bottom w:val="single" w:sz="8" w:space="0" w:color="B7C7D8"/>
          <w:right w:val="single" w:sz="8" w:space="0" w:color="B7C7D8"/>
          <w:insideH w:val="single" w:sz="8" w:space="0" w:color="B7C7D8"/>
          <w:insideV w:val="single" w:sz="8" w:space="0" w:color="B7C7D8"/>
        </w:tblBorders>
      </w:tblPr>
      <w:tblGrid>
        <w:gridCol w:w="9360"/>
      </w:tblGrid>
      <w:tr>
        <w:tc>
          <w:tcPr>
            <w:tcW w:type="dxa" w:w="9360"/>
            <w:shd w:fill="F4F6F9"/>
          </w:tcPr>
          <w:p>
            <w:pPr>
              <w:spacing w:after="40"/>
            </w:pPr>
            <w:r>
              <w:rPr>
                <w:rFonts w:ascii="Microsoft YaHei" w:hAnsi="Microsoft YaHei" w:eastAsia="Microsoft YaHei"/>
                <w:b/>
                <w:color w:val="1F4D78"/>
                <w:sz w:val="20"/>
              </w:rPr>
              <w:t>模块治理建议：</w:t>
            </w:r>
            <w:r>
              <w:rPr>
                <w:rFonts w:ascii="Microsoft YaHei" w:hAnsi="Microsoft YaHei" w:eastAsia="Microsoft YaHei"/>
                <w:sz w:val="20"/>
              </w:rPr>
              <w:t>eiscore-quality 后续新增字段、页面或统计口径时，应同步补充接口说明、语义标注、权限规则和回归用例。这样模块能力不仅能被用户操作，也能被应用中心、工作流、Smart BI 和 Agent 正确理解。</w:t>
            </w:r>
          </w:p>
        </w:tc>
      </w:tr>
    </w:tbl>
    <w:p/>
    <w:p>
      <w:pPr>
        <w:pStyle w:val="Heading2"/>
      </w:pPr>
      <w:r>
        <w:rPr>
          <w:rFonts w:ascii="Microsoft YaHei" w:hAnsi="Microsoft YaHei" w:eastAsia="Microsoft YaHei"/>
          <w:b/>
          <w:color w:val="2E74B5"/>
          <w:sz w:val="26"/>
        </w:rPr>
        <w:t>10.8 设备管理</w:t>
      </w:r>
    </w:p>
    <w:p>
      <w:pPr>
        <w:spacing w:after="120" w:line="276" w:lineRule="auto"/>
        <w:ind w:firstLine="403"/>
      </w:pPr>
      <w:r>
        <w:rPr>
          <w:rFonts w:ascii="Microsoft YaHei" w:hAnsi="Microsoft YaHei" w:eastAsia="Microsoft YaHei"/>
          <w:sz w:val="21"/>
        </w:rPr>
        <w:t>设备模块覆盖设备台账、点检记录、设备异常、维保工单、巡检计划和保养标准。制造企业设备管理的核心不是只记录设备清单，而是保证设备状态、点检保养、异常维修和停机影响可追踪。</w:t>
      </w:r>
    </w:p>
    <w:p>
      <w:pPr>
        <w:spacing w:after="120" w:line="276" w:lineRule="auto"/>
        <w:ind w:firstLine="403"/>
      </w:pPr>
      <w:r>
        <w:rPr>
          <w:rFonts w:ascii="Microsoft YaHei" w:hAnsi="Microsoft YaHei" w:eastAsia="Microsoft YaHei"/>
          <w:sz w:val="21"/>
        </w:rPr>
        <w:t>设备模块天然适合移动端和采集端结合。现场人员可能通过手机扫码点检，也可能把纸质点检表或维修记录拍照上传。系统若能把这些资料转为设备点检记录或维保工单，就能明显减少事后补录。</w:t>
      </w:r>
    </w:p>
    <w:p>
      <w:pPr>
        <w:spacing w:after="120" w:line="276" w:lineRule="auto"/>
        <w:ind w:firstLine="403"/>
      </w:pPr>
      <w:r>
        <w:rPr>
          <w:rFonts w:ascii="Microsoft YaHei" w:hAnsi="Microsoft YaHei" w:eastAsia="Microsoft YaHei"/>
          <w:sz w:val="21"/>
        </w:rPr>
        <w:t>设备管理还与生产和质量有关。设备异常可能影响工单进度和质量问题，维保计划可能影响产能安排。后续应通过本体关系把设备、工单、质量异常和维修记录关联起来，为决策支持提供数据来源。</w:t>
      </w:r>
    </w:p>
    <w:tbl>
      <w:tblPr>
        <w:tblW w:type="auto" w:w="0"/>
        <w:jc w:val="center"/>
        <w:tblLook w:firstColumn="1" w:firstRow="1" w:lastColumn="0" w:lastRow="0" w:noHBand="0" w:noVBand="1" w:val="04A0"/>
        <w:tblBorders>
          <w:top w:val="single" w:sz="8" w:space="0" w:color="B7C7D8"/>
          <w:left w:val="single" w:sz="8" w:space="0" w:color="B7C7D8"/>
          <w:bottom w:val="single" w:sz="8" w:space="0" w:color="B7C7D8"/>
          <w:right w:val="single" w:sz="8" w:space="0" w:color="B7C7D8"/>
          <w:insideH w:val="single" w:sz="8" w:space="0" w:color="B7C7D8"/>
          <w:insideV w:val="single" w:sz="8" w:space="0" w:color="B7C7D8"/>
        </w:tblBorders>
      </w:tblPr>
      <w:tblGrid>
        <w:gridCol w:w="9360"/>
      </w:tblGrid>
      <w:tr>
        <w:tc>
          <w:tcPr>
            <w:tcW w:type="dxa" w:w="9360"/>
            <w:shd w:fill="F4F6F9"/>
          </w:tcPr>
          <w:p>
            <w:pPr>
              <w:spacing w:after="40"/>
            </w:pPr>
            <w:r>
              <w:rPr>
                <w:rFonts w:ascii="Microsoft YaHei" w:hAnsi="Microsoft YaHei" w:eastAsia="Microsoft YaHei"/>
                <w:b/>
                <w:color w:val="1F4D78"/>
                <w:sz w:val="20"/>
              </w:rPr>
              <w:t>模块治理建议：</w:t>
            </w:r>
            <w:r>
              <w:rPr>
                <w:rFonts w:ascii="Microsoft YaHei" w:hAnsi="Microsoft YaHei" w:eastAsia="Microsoft YaHei"/>
                <w:sz w:val="20"/>
              </w:rPr>
              <w:t>eiscore-equipment 后续新增字段、页面或统计口径时，应同步补充接口说明、语义标注、权限规则和回归用例。这样模块能力不仅能被用户操作，也能被应用中心、工作流、Smart BI 和 Agent 正确理解。</w:t>
            </w:r>
          </w:p>
        </w:tc>
      </w:tr>
    </w:tbl>
    <w:p/>
    <w:p>
      <w:pPr>
        <w:pStyle w:val="Heading2"/>
      </w:pPr>
      <w:r>
        <w:rPr>
          <w:rFonts w:ascii="Microsoft YaHei" w:hAnsi="Microsoft YaHei" w:eastAsia="Microsoft YaHei"/>
          <w:b/>
          <w:color w:val="2E74B5"/>
          <w:sz w:val="26"/>
        </w:rPr>
        <w:t>10.9 决策支持</w:t>
      </w:r>
    </w:p>
    <w:p>
      <w:pPr>
        <w:spacing w:after="120" w:line="276" w:lineRule="auto"/>
        <w:ind w:firstLine="403"/>
      </w:pPr>
      <w:r>
        <w:rPr>
          <w:rFonts w:ascii="Microsoft YaHei" w:hAnsi="Microsoft YaHei" w:eastAsia="Microsoft YaHei"/>
          <w:sz w:val="21"/>
        </w:rPr>
        <w:t>决策支持模块面向管理层，核心是把分散业务数据转化为可观察指标。它不是简单图表页面，而应该围绕销售、采购、库存、生产、质量、设备和人效形成统一指标体系。</w:t>
      </w:r>
    </w:p>
    <w:p>
      <w:pPr>
        <w:spacing w:after="120" w:line="276" w:lineRule="auto"/>
        <w:ind w:firstLine="403"/>
      </w:pPr>
      <w:r>
        <w:rPr>
          <w:rFonts w:ascii="Microsoft YaHei" w:hAnsi="Microsoft YaHei" w:eastAsia="Microsoft YaHei"/>
          <w:sz w:val="21"/>
        </w:rPr>
        <w:t>当前系统已有 Smart BI 和驾驶舱卡片相关能力，说明决策层不仅可以看静态图表，还可以通过 AI 解释指标变化、风险状态和行动建议。但 Smart BI 的质量依赖底层语义、统计口径和数据完整度，不能脱离业务单据治理。</w:t>
      </w:r>
    </w:p>
    <w:p>
      <w:pPr>
        <w:spacing w:after="120" w:line="276" w:lineRule="auto"/>
        <w:ind w:firstLine="403"/>
      </w:pPr>
      <w:r>
        <w:rPr>
          <w:rFonts w:ascii="Microsoft YaHei" w:hAnsi="Microsoft YaHei" w:eastAsia="Microsoft YaHei"/>
          <w:sz w:val="21"/>
        </w:rPr>
        <w:t>随着 AI 自动入单落地，决策模块会获得更多来自现场资料的数据。但自动识别数据应有来源标记、置信度和复核状态，决策图表可以根据企业配置选择是否纳入未审核数据，避免管理层误把低置信度数据当成正式结果。</w:t>
      </w:r>
    </w:p>
    <w:tbl>
      <w:tblPr>
        <w:tblW w:type="auto" w:w="0"/>
        <w:jc w:val="center"/>
        <w:tblLook w:firstColumn="1" w:firstRow="1" w:lastColumn="0" w:lastRow="0" w:noHBand="0" w:noVBand="1" w:val="04A0"/>
        <w:tblBorders>
          <w:top w:val="single" w:sz="8" w:space="0" w:color="B7C7D8"/>
          <w:left w:val="single" w:sz="8" w:space="0" w:color="B7C7D8"/>
          <w:bottom w:val="single" w:sz="8" w:space="0" w:color="B7C7D8"/>
          <w:right w:val="single" w:sz="8" w:space="0" w:color="B7C7D8"/>
          <w:insideH w:val="single" w:sz="8" w:space="0" w:color="B7C7D8"/>
          <w:insideV w:val="single" w:sz="8" w:space="0" w:color="B7C7D8"/>
        </w:tblBorders>
      </w:tblPr>
      <w:tblGrid>
        <w:gridCol w:w="9360"/>
      </w:tblGrid>
      <w:tr>
        <w:tc>
          <w:tcPr>
            <w:tcW w:type="dxa" w:w="9360"/>
            <w:shd w:fill="F4F6F9"/>
          </w:tcPr>
          <w:p>
            <w:pPr>
              <w:spacing w:after="40"/>
            </w:pPr>
            <w:r>
              <w:rPr>
                <w:rFonts w:ascii="Microsoft YaHei" w:hAnsi="Microsoft YaHei" w:eastAsia="Microsoft YaHei"/>
                <w:b/>
                <w:color w:val="1F4D78"/>
                <w:sz w:val="20"/>
              </w:rPr>
              <w:t>模块治理建议：</w:t>
            </w:r>
            <w:r>
              <w:rPr>
                <w:rFonts w:ascii="Microsoft YaHei" w:hAnsi="Microsoft YaHei" w:eastAsia="Microsoft YaHei"/>
                <w:sz w:val="20"/>
              </w:rPr>
              <w:t>eiscore-decision 后续新增字段、页面或统计口径时，应同步补充接口说明、语义标注、权限规则和回归用例。这样模块能力不仅能被用户操作，也能被应用中心、工作流、Smart BI 和 Agent 正确理解。</w:t>
            </w:r>
          </w:p>
        </w:tc>
      </w:tr>
    </w:tbl>
    <w:p/>
    <w:p>
      <w:pPr>
        <w:pStyle w:val="Heading1"/>
      </w:pPr>
      <w:r>
        <w:rPr>
          <w:rFonts w:ascii="Microsoft YaHei" w:hAnsi="Microsoft YaHei" w:eastAsia="Microsoft YaHei"/>
          <w:b/>
          <w:color w:val="2E74B5"/>
          <w:sz w:val="32"/>
        </w:rPr>
        <w:t>11 移动端与现场作业能力</w:t>
      </w:r>
    </w:p>
    <w:p>
      <w:pPr>
        <w:spacing w:after="120" w:line="276" w:lineRule="auto"/>
        <w:ind w:firstLine="403"/>
      </w:pPr>
      <w:r>
        <w:rPr>
          <w:rFonts w:ascii="Microsoft YaHei" w:hAnsi="Microsoft YaHei" w:eastAsia="Microsoft YaHei"/>
          <w:sz w:val="21"/>
        </w:rPr>
        <w:t>移动端工程 eiscore-mobile 是系统触达现场作业的重要入口。制造企业现场人员通常不适合长时间使用 PC 表单，移动端更适合扫码、盘点、确认、拍照、查看待办和轻量审批。当前功能手册中移动端包含移动工作台、移动应用卡片、库存盘点、扫码出入库、标签打印和移动助手，这与仓储和生产现场高度匹配。</w:t>
      </w:r>
    </w:p>
    <w:p>
      <w:pPr>
        <w:spacing w:after="120" w:line="276" w:lineRule="auto"/>
        <w:ind w:firstLine="403"/>
      </w:pPr>
      <w:r>
        <w:rPr>
          <w:rFonts w:ascii="Microsoft YaHei" w:hAnsi="Microsoft YaHei" w:eastAsia="Microsoft YaHei"/>
          <w:sz w:val="21"/>
        </w:rPr>
        <w:t>移动端与 Windows 采集端的定位不同。移动端适合人员主动操作，例如扫码出入库、现场点检、移动审批和拍照上传；Windows 采集端适合无人值守或低交互资料收集，例如某岗位电脑上的共享文件夹自动监听、每日单据集中上传和客户端日志采集。两者共同构成现场数据入口。</w:t>
      </w:r>
    </w:p>
    <w:p>
      <w:pPr>
        <w:spacing w:after="120" w:line="276" w:lineRule="auto"/>
        <w:ind w:firstLine="403"/>
      </w:pPr>
      <w:r>
        <w:rPr>
          <w:rFonts w:ascii="Microsoft YaHei" w:hAnsi="Microsoft YaHei" w:eastAsia="Microsoft YaHei"/>
          <w:sz w:val="21"/>
        </w:rPr>
        <w:t>从架构上看，移动端应尽量复用同一套 PostgREST API、权限模型、工作流状态和业务 RPC，而不是维护一套独立后端。这样同一笔库存入库，无论来自 PC 页面、移动扫码还是 AI 自动入单，都能进入同一张库存交易表和同一套审计链路。</w:t>
      </w:r>
    </w:p>
    <w:p>
      <w:pPr>
        <w:spacing w:after="120" w:line="276" w:lineRule="auto"/>
        <w:ind w:firstLine="403"/>
      </w:pPr>
      <w:r>
        <w:rPr>
          <w:rFonts w:ascii="Microsoft YaHei" w:hAnsi="Microsoft YaHei" w:eastAsia="Microsoft YaHei"/>
          <w:sz w:val="21"/>
        </w:rPr>
        <w:t>移动端未来可以与智能收单形成互补：采集端负责批量、静默、文件夹式资料入口；移动端负责临时拍照和现场确认。比如设备维修人员可以手机拍照上传维修单，系统识别后生成维保工单；仓管员可以扫码确认 AI 生成的入库单；质量人员可以移动复核低置信度检验记录。</w:t>
      </w:r>
    </w:p>
    <w:p>
      <w:pPr>
        <w:spacing w:after="120" w:line="276" w:lineRule="auto"/>
        <w:ind w:firstLine="403"/>
      </w:pPr>
      <w:r>
        <w:rPr>
          <w:rFonts w:ascii="Microsoft YaHei" w:hAnsi="Microsoft YaHei" w:eastAsia="Microsoft YaHei"/>
          <w:sz w:val="21"/>
        </w:rPr>
        <w:t>由于移动端使用场景更接近现场，稳定性和错误提示比功能数量更重要。弱网、重复提交、扫码失败、离线暂存、图片上传失败和权限不足都需要明确反馈。后续如果企业要求更高现场可用性，可以考虑离线队列、PWA 或原生壳，但当前阶段使用移动 Web 先覆盖主要流程是合理的。</w:t>
      </w:r>
    </w:p>
    <w:p>
      <w:pPr>
        <w:pStyle w:val="Heading1"/>
      </w:pPr>
      <w:r>
        <w:rPr>
          <w:rFonts w:ascii="Microsoft YaHei" w:hAnsi="Microsoft YaHei" w:eastAsia="Microsoft YaHei"/>
          <w:b/>
          <w:color w:val="2E74B5"/>
          <w:sz w:val="32"/>
        </w:rPr>
        <w:t>12 智能收单与 AI 自动入单能力</w:t>
      </w:r>
    </w:p>
    <w:p>
      <w:pPr>
        <w:spacing w:after="120" w:line="276" w:lineRule="auto"/>
        <w:ind w:firstLine="403"/>
      </w:pPr>
      <w:r>
        <w:rPr>
          <w:rFonts w:ascii="Microsoft YaHei" w:hAnsi="Microsoft YaHei" w:eastAsia="Microsoft YaHei"/>
          <w:sz w:val="21"/>
        </w:rPr>
        <w:t>智能收单与 AI 自动入单是当前用户提出的第一阶段重点增强能力。其业务背景是工厂人员每天产生大量 Excel、Word、PDF、图片、扫描件和截图，这些资料格式杂乱、命名随意、字段不统一，传统做法需要人工判断资料属于哪类业务单据，再手工录入系统。用户希望人员只把资料丢到指定文件夹或拖入采集端，系统自动识别、归类、生成一张或多张业务单据。</w:t>
      </w:r>
    </w:p>
    <w:p>
      <w:pPr>
        <w:spacing w:after="120" w:line="276" w:lineRule="auto"/>
        <w:ind w:firstLine="403"/>
      </w:pPr>
      <w:r>
        <w:rPr>
          <w:rFonts w:ascii="Microsoft YaHei" w:hAnsi="Microsoft YaHei" w:eastAsia="Microsoft YaHei"/>
          <w:sz w:val="21"/>
        </w:rPr>
        <w:t>该需求的关键不是单纯 OCR，而是“资料到业务单据”的完整链路。系统需要采集原始文件，计算 hash 和去重，保存原始资产，创建解析任务，抽取文本和结构，判断业务类型，决定是一张单据还是多张单据，规划目标表和字段映射，处理当前表没有的字段，调用业务 RPC 或受控 API 入库，保存业务链接，记录未匹配字段和置信度，并允许人工修改和统计。</w:t>
      </w:r>
    </w:p>
    <w:p>
      <w:pPr>
        <w:spacing w:after="120" w:line="276" w:lineRule="auto"/>
        <w:ind w:firstLine="403"/>
      </w:pPr>
      <w:r>
        <w:rPr>
          <w:rFonts w:ascii="Microsoft YaHei" w:hAnsi="Microsoft YaHei" w:eastAsia="Microsoft YaHei"/>
          <w:sz w:val="21"/>
        </w:rPr>
        <w:t>用户已经明确几个规则：人不做前置判断，系统自动识别归类；识别错误后果不严重，但企业可配置开关决定是否自动写入；当前业务表没有的字段默认写入备注列并标明；Agent 要智能识别一张资料需要录入一张业务单据还是多张单据；录入后的结果可以修改、审核确认，也可以纳入统计。文档把这些规则作为第一阶段核心业务约束。</w:t>
      </w:r>
    </w:p>
    <w:p>
      <w:pPr>
        <w:spacing w:after="120" w:line="276" w:lineRule="auto"/>
        <w:ind w:firstLine="403"/>
      </w:pPr>
      <w:r>
        <w:rPr>
          <w:rFonts w:ascii="Microsoft YaHei" w:hAnsi="Microsoft YaHei" w:eastAsia="Microsoft YaHei"/>
          <w:sz w:val="21"/>
        </w:rPr>
        <w:t>当前项目已经出现 document-intake 相关数据库脚本和 worker：patch_ai_document_intake_mvp.sql 创建采集设备、监听目录、导入批次、文件资产、上传会话、分片、解析任务、解析结果、分类结果、入库计划、业务链接、未匹配字段、修正记录、客户端日志等表；realtime 中有 document-intake handler、parser、planner、entry 和 fixed-entry worker；测试脚本覆盖采集、解析、计划、通用入库和固定入库回归。</w:t>
      </w:r>
    </w:p>
    <w:p>
      <w:pPr>
        <w:spacing w:after="120" w:line="276" w:lineRule="auto"/>
        <w:ind w:firstLine="403"/>
      </w:pPr>
      <w:r>
        <w:rPr>
          <w:rFonts w:ascii="Microsoft YaHei" w:hAnsi="Microsoft YaHei" w:eastAsia="Microsoft YaHei"/>
          <w:sz w:val="21"/>
        </w:rPr>
        <w:t>第一阶段建议按风险从低到高推进。MVP 1 先完成拖拽上传和固定模板入库，例如采购入库单；MVP 2 增加无人值守文件夹监听、设备绑定、默认上传用户和自动入库开关；MVP 3 扩展多单据拆分、动态应用入库、低置信度复核、后台总览和日志审计。这样可以先证明端到端链路，再逐步提升识别覆盖面。</w:t>
      </w:r>
    </w:p>
    <w:p>
      <w:pPr>
        <w:spacing w:after="120" w:line="276" w:lineRule="auto"/>
        <w:ind w:firstLine="403"/>
      </w:pPr>
      <w:r>
        <w:rPr>
          <w:rFonts w:ascii="Microsoft YaHei" w:hAnsi="Microsoft YaHei" w:eastAsia="Microsoft YaHei"/>
          <w:sz w:val="21"/>
        </w:rPr>
        <w:t>AI 自动入单应坚持不绕过业务逻辑。对于库存入库，应优先调用 stock_in 等已有 RPC；对于工作流相关单据，应按状态和流程规则创建草稿或待审单；对于动态表，应写入 app_data 并保留字段快照。这样数据进入系统后才能被统计、修改、审核和追溯，而不是形成一批无法治理的 AI 临时数据。</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872"/>
        <w:gridCol w:w="1872"/>
        <w:gridCol w:w="1872"/>
        <w:gridCol w:w="1872"/>
        <w:gridCol w:w="1872"/>
      </w:tblGrid>
      <w:tr>
        <w:tc>
          <w:tcPr>
            <w:tcW w:type="dxa" w:w="1512"/>
            <w:shd w:fill="E8EEF5"/>
            <w:vAlign w:val="center"/>
          </w:tcPr>
          <w:p>
            <w:pPr>
              <w:jc w:val="center"/>
            </w:pPr>
            <w:r>
              <w:rPr>
                <w:rFonts w:ascii="Microsoft YaHei" w:hAnsi="Microsoft YaHei" w:eastAsia="Microsoft YaHei"/>
                <w:b/>
                <w:sz w:val="18"/>
              </w:rPr>
              <w:t>阶段</w:t>
            </w:r>
          </w:p>
        </w:tc>
        <w:tc>
          <w:tcPr>
            <w:tcW w:type="dxa" w:w="2088"/>
            <w:shd w:fill="E8EEF5"/>
            <w:vAlign w:val="center"/>
          </w:tcPr>
          <w:p>
            <w:pPr>
              <w:jc w:val="center"/>
            </w:pPr>
            <w:r>
              <w:rPr>
                <w:rFonts w:ascii="Microsoft YaHei" w:hAnsi="Microsoft YaHei" w:eastAsia="Microsoft YaHei"/>
                <w:b/>
                <w:sz w:val="18"/>
              </w:rPr>
              <w:t>输入</w:t>
            </w:r>
          </w:p>
        </w:tc>
        <w:tc>
          <w:tcPr>
            <w:tcW w:type="dxa" w:w="3024"/>
            <w:shd w:fill="E8EEF5"/>
            <w:vAlign w:val="center"/>
          </w:tcPr>
          <w:p>
            <w:pPr>
              <w:jc w:val="center"/>
            </w:pPr>
            <w:r>
              <w:rPr>
                <w:rFonts w:ascii="Microsoft YaHei" w:hAnsi="Microsoft YaHei" w:eastAsia="Microsoft YaHei"/>
                <w:b/>
                <w:sz w:val="18"/>
              </w:rPr>
              <w:t>处理</w:t>
            </w:r>
          </w:p>
        </w:tc>
        <w:tc>
          <w:tcPr>
            <w:tcW w:type="dxa" w:w="2088"/>
            <w:shd w:fill="E8EEF5"/>
            <w:vAlign w:val="center"/>
          </w:tcPr>
          <w:p>
            <w:pPr>
              <w:jc w:val="center"/>
            </w:pPr>
            <w:r>
              <w:rPr>
                <w:rFonts w:ascii="Microsoft YaHei" w:hAnsi="Microsoft YaHei" w:eastAsia="Microsoft YaHei"/>
                <w:b/>
                <w:sz w:val="18"/>
              </w:rPr>
              <w:t>输出</w:t>
            </w:r>
          </w:p>
        </w:tc>
        <w:tc>
          <w:tcPr>
            <w:tcW w:type="dxa" w:w="2808"/>
            <w:shd w:fill="E8EEF5"/>
            <w:vAlign w:val="center"/>
          </w:tcPr>
          <w:p>
            <w:pPr>
              <w:jc w:val="center"/>
            </w:pPr>
            <w:r>
              <w:rPr>
                <w:rFonts w:ascii="Microsoft YaHei" w:hAnsi="Microsoft YaHei" w:eastAsia="Microsoft YaHei"/>
                <w:b/>
                <w:sz w:val="18"/>
              </w:rPr>
              <w:t>追溯数据</w:t>
            </w:r>
          </w:p>
        </w:tc>
      </w:tr>
      <w:tr>
        <w:tc>
          <w:tcPr>
            <w:tcW w:type="dxa" w:w="1512"/>
            <w:vAlign w:val="center"/>
          </w:tcPr>
          <w:p>
            <w:pPr>
              <w:spacing w:after="40"/>
            </w:pPr>
            <w:r>
              <w:rPr>
                <w:rFonts w:ascii="Microsoft YaHei" w:hAnsi="Microsoft YaHei" w:eastAsia="Microsoft YaHei"/>
                <w:sz w:val="18"/>
              </w:rPr>
              <w:t>采集</w:t>
            </w:r>
          </w:p>
        </w:tc>
        <w:tc>
          <w:tcPr>
            <w:tcW w:type="dxa" w:w="2088"/>
            <w:vAlign w:val="center"/>
          </w:tcPr>
          <w:p>
            <w:pPr>
              <w:spacing w:after="40"/>
            </w:pPr>
            <w:r>
              <w:rPr>
                <w:rFonts w:ascii="Microsoft YaHei" w:hAnsi="Microsoft YaHei" w:eastAsia="Microsoft YaHei"/>
                <w:sz w:val="18"/>
              </w:rPr>
              <w:t>文件夹、拖拽、手动选择、未来移动拍照</w:t>
            </w:r>
          </w:p>
        </w:tc>
        <w:tc>
          <w:tcPr>
            <w:tcW w:type="dxa" w:w="3024"/>
            <w:vAlign w:val="center"/>
          </w:tcPr>
          <w:p>
            <w:pPr>
              <w:spacing w:after="40"/>
            </w:pPr>
            <w:r>
              <w:rPr>
                <w:rFonts w:ascii="Microsoft YaHei" w:hAnsi="Microsoft YaHei" w:eastAsia="Microsoft YaHei"/>
                <w:sz w:val="18"/>
              </w:rPr>
              <w:t>设备鉴权、hash、去重、本地队列上传</w:t>
            </w:r>
          </w:p>
        </w:tc>
        <w:tc>
          <w:tcPr>
            <w:tcW w:type="dxa" w:w="2088"/>
            <w:vAlign w:val="center"/>
          </w:tcPr>
          <w:p>
            <w:pPr>
              <w:spacing w:after="40"/>
            </w:pPr>
            <w:r>
              <w:rPr>
                <w:rFonts w:ascii="Microsoft YaHei" w:hAnsi="Microsoft YaHei" w:eastAsia="Microsoft YaHei"/>
                <w:sz w:val="18"/>
              </w:rPr>
              <w:t>document_assets</w:t>
            </w:r>
          </w:p>
        </w:tc>
        <w:tc>
          <w:tcPr>
            <w:tcW w:type="dxa" w:w="2808"/>
            <w:vAlign w:val="center"/>
          </w:tcPr>
          <w:p>
            <w:pPr>
              <w:spacing w:after="40"/>
            </w:pPr>
            <w:r>
              <w:rPr>
                <w:rFonts w:ascii="Microsoft YaHei" w:hAnsi="Microsoft YaHei" w:eastAsia="Microsoft YaHei"/>
                <w:sz w:val="18"/>
              </w:rPr>
              <w:t>设备、上传用户、来源路径、hash、批次</w:t>
            </w:r>
          </w:p>
        </w:tc>
      </w:tr>
      <w:tr>
        <w:tc>
          <w:tcPr>
            <w:tcW w:type="dxa" w:w="1512"/>
            <w:vAlign w:val="center"/>
          </w:tcPr>
          <w:p>
            <w:pPr>
              <w:spacing w:after="40"/>
            </w:pPr>
            <w:r>
              <w:rPr>
                <w:rFonts w:ascii="Microsoft YaHei" w:hAnsi="Microsoft YaHei" w:eastAsia="Microsoft YaHei"/>
                <w:sz w:val="18"/>
              </w:rPr>
              <w:t>解析</w:t>
            </w:r>
          </w:p>
        </w:tc>
        <w:tc>
          <w:tcPr>
            <w:tcW w:type="dxa" w:w="2088"/>
            <w:vAlign w:val="center"/>
          </w:tcPr>
          <w:p>
            <w:pPr>
              <w:spacing w:after="40"/>
            </w:pPr>
            <w:r>
              <w:rPr>
                <w:rFonts w:ascii="Microsoft YaHei" w:hAnsi="Microsoft YaHei" w:eastAsia="Microsoft YaHei"/>
                <w:sz w:val="18"/>
              </w:rPr>
              <w:t>Excel、Word、PDF、图片、文本</w:t>
            </w:r>
          </w:p>
        </w:tc>
        <w:tc>
          <w:tcPr>
            <w:tcW w:type="dxa" w:w="3024"/>
            <w:vAlign w:val="center"/>
          </w:tcPr>
          <w:p>
            <w:pPr>
              <w:spacing w:after="40"/>
            </w:pPr>
            <w:r>
              <w:rPr>
                <w:rFonts w:ascii="Microsoft YaHei" w:hAnsi="Microsoft YaHei" w:eastAsia="Microsoft YaHei"/>
                <w:sz w:val="18"/>
              </w:rPr>
              <w:t>文本抽取、OCR/结构化解析、unsupported 兜底</w:t>
            </w:r>
          </w:p>
        </w:tc>
        <w:tc>
          <w:tcPr>
            <w:tcW w:type="dxa" w:w="2088"/>
            <w:vAlign w:val="center"/>
          </w:tcPr>
          <w:p>
            <w:pPr>
              <w:spacing w:after="40"/>
            </w:pPr>
            <w:r>
              <w:rPr>
                <w:rFonts w:ascii="Microsoft YaHei" w:hAnsi="Microsoft YaHei" w:eastAsia="Microsoft YaHei"/>
                <w:sz w:val="18"/>
              </w:rPr>
              <w:t>document_parse_results</w:t>
            </w:r>
          </w:p>
        </w:tc>
        <w:tc>
          <w:tcPr>
            <w:tcW w:type="dxa" w:w="2808"/>
            <w:vAlign w:val="center"/>
          </w:tcPr>
          <w:p>
            <w:pPr>
              <w:spacing w:after="40"/>
            </w:pPr>
            <w:r>
              <w:rPr>
                <w:rFonts w:ascii="Microsoft YaHei" w:hAnsi="Microsoft YaHei" w:eastAsia="Microsoft YaHei"/>
                <w:sz w:val="18"/>
              </w:rPr>
              <w:t>解析文本、表格、错误信息</w:t>
            </w:r>
          </w:p>
        </w:tc>
      </w:tr>
      <w:tr>
        <w:tc>
          <w:tcPr>
            <w:tcW w:type="dxa" w:w="1512"/>
            <w:vAlign w:val="center"/>
          </w:tcPr>
          <w:p>
            <w:pPr>
              <w:spacing w:after="40"/>
            </w:pPr>
            <w:r>
              <w:rPr>
                <w:rFonts w:ascii="Microsoft YaHei" w:hAnsi="Microsoft YaHei" w:eastAsia="Microsoft YaHei"/>
                <w:sz w:val="18"/>
              </w:rPr>
              <w:t>分类</w:t>
            </w:r>
          </w:p>
        </w:tc>
        <w:tc>
          <w:tcPr>
            <w:tcW w:type="dxa" w:w="2088"/>
            <w:vAlign w:val="center"/>
          </w:tcPr>
          <w:p>
            <w:pPr>
              <w:spacing w:after="40"/>
            </w:pPr>
            <w:r>
              <w:rPr>
                <w:rFonts w:ascii="Microsoft YaHei" w:hAnsi="Microsoft YaHei" w:eastAsia="Microsoft YaHei"/>
                <w:sz w:val="18"/>
              </w:rPr>
              <w:t>解析结果和语义上下文</w:t>
            </w:r>
          </w:p>
        </w:tc>
        <w:tc>
          <w:tcPr>
            <w:tcW w:type="dxa" w:w="3024"/>
            <w:vAlign w:val="center"/>
          </w:tcPr>
          <w:p>
            <w:pPr>
              <w:spacing w:after="40"/>
            </w:pPr>
            <w:r>
              <w:rPr>
                <w:rFonts w:ascii="Microsoft YaHei" w:hAnsi="Microsoft YaHei" w:eastAsia="Microsoft YaHei"/>
                <w:sz w:val="18"/>
              </w:rPr>
              <w:t>判断业务模块、单据类型、单据数量、置信度</w:t>
            </w:r>
          </w:p>
        </w:tc>
        <w:tc>
          <w:tcPr>
            <w:tcW w:type="dxa" w:w="2088"/>
            <w:vAlign w:val="center"/>
          </w:tcPr>
          <w:p>
            <w:pPr>
              <w:spacing w:after="40"/>
            </w:pPr>
            <w:r>
              <w:rPr>
                <w:rFonts w:ascii="Microsoft YaHei" w:hAnsi="Microsoft YaHei" w:eastAsia="Microsoft YaHei"/>
                <w:sz w:val="18"/>
              </w:rPr>
              <w:t>document_classification_results</w:t>
            </w:r>
          </w:p>
        </w:tc>
        <w:tc>
          <w:tcPr>
            <w:tcW w:type="dxa" w:w="2808"/>
            <w:vAlign w:val="center"/>
          </w:tcPr>
          <w:p>
            <w:pPr>
              <w:spacing w:after="40"/>
            </w:pPr>
            <w:r>
              <w:rPr>
                <w:rFonts w:ascii="Microsoft YaHei" w:hAnsi="Microsoft YaHei" w:eastAsia="Microsoft YaHei"/>
                <w:sz w:val="18"/>
              </w:rPr>
              <w:t>分类理由、候选类型</w:t>
            </w:r>
          </w:p>
        </w:tc>
      </w:tr>
      <w:tr>
        <w:tc>
          <w:tcPr>
            <w:tcW w:type="dxa" w:w="1512"/>
            <w:vAlign w:val="center"/>
          </w:tcPr>
          <w:p>
            <w:pPr>
              <w:spacing w:after="40"/>
            </w:pPr>
            <w:r>
              <w:rPr>
                <w:rFonts w:ascii="Microsoft YaHei" w:hAnsi="Microsoft YaHei" w:eastAsia="Microsoft YaHei"/>
                <w:sz w:val="18"/>
              </w:rPr>
              <w:t>计划</w:t>
            </w:r>
          </w:p>
        </w:tc>
        <w:tc>
          <w:tcPr>
            <w:tcW w:type="dxa" w:w="2088"/>
            <w:vAlign w:val="center"/>
          </w:tcPr>
          <w:p>
            <w:pPr>
              <w:spacing w:after="40"/>
            </w:pPr>
            <w:r>
              <w:rPr>
                <w:rFonts w:ascii="Microsoft YaHei" w:hAnsi="Microsoft YaHei" w:eastAsia="Microsoft YaHei"/>
                <w:sz w:val="18"/>
              </w:rPr>
              <w:t>分类结果、目标表、字段语义</w:t>
            </w:r>
          </w:p>
        </w:tc>
        <w:tc>
          <w:tcPr>
            <w:tcW w:type="dxa" w:w="3024"/>
            <w:vAlign w:val="center"/>
          </w:tcPr>
          <w:p>
            <w:pPr>
              <w:spacing w:after="40"/>
            </w:pPr>
            <w:r>
              <w:rPr>
                <w:rFonts w:ascii="Microsoft YaHei" w:hAnsi="Microsoft YaHei" w:eastAsia="Microsoft YaHei"/>
                <w:sz w:val="18"/>
              </w:rPr>
              <w:t>字段映射、主数据匹配、备注/未匹配字段规划</w:t>
            </w:r>
          </w:p>
        </w:tc>
        <w:tc>
          <w:tcPr>
            <w:tcW w:type="dxa" w:w="2088"/>
            <w:vAlign w:val="center"/>
          </w:tcPr>
          <w:p>
            <w:pPr>
              <w:spacing w:after="40"/>
            </w:pPr>
            <w:r>
              <w:rPr>
                <w:rFonts w:ascii="Microsoft YaHei" w:hAnsi="Microsoft YaHei" w:eastAsia="Microsoft YaHei"/>
                <w:sz w:val="18"/>
              </w:rPr>
              <w:t>document_entry_plans</w:t>
            </w:r>
          </w:p>
        </w:tc>
        <w:tc>
          <w:tcPr>
            <w:tcW w:type="dxa" w:w="2808"/>
            <w:vAlign w:val="center"/>
          </w:tcPr>
          <w:p>
            <w:pPr>
              <w:spacing w:after="40"/>
            </w:pPr>
            <w:r>
              <w:rPr>
                <w:rFonts w:ascii="Microsoft YaHei" w:hAnsi="Microsoft YaHei" w:eastAsia="Microsoft YaHei"/>
                <w:sz w:val="18"/>
              </w:rPr>
              <w:t>字段快照、计划版本</w:t>
            </w:r>
          </w:p>
        </w:tc>
      </w:tr>
      <w:tr>
        <w:tc>
          <w:tcPr>
            <w:tcW w:type="dxa" w:w="1512"/>
            <w:vAlign w:val="center"/>
          </w:tcPr>
          <w:p>
            <w:pPr>
              <w:spacing w:after="40"/>
            </w:pPr>
            <w:r>
              <w:rPr>
                <w:rFonts w:ascii="Microsoft YaHei" w:hAnsi="Microsoft YaHei" w:eastAsia="Microsoft YaHei"/>
                <w:sz w:val="18"/>
              </w:rPr>
              <w:t>入库</w:t>
            </w:r>
          </w:p>
        </w:tc>
        <w:tc>
          <w:tcPr>
            <w:tcW w:type="dxa" w:w="2088"/>
            <w:vAlign w:val="center"/>
          </w:tcPr>
          <w:p>
            <w:pPr>
              <w:spacing w:after="40"/>
            </w:pPr>
            <w:r>
              <w:rPr>
                <w:rFonts w:ascii="Microsoft YaHei" w:hAnsi="Microsoft YaHei" w:eastAsia="Microsoft YaHei"/>
                <w:sz w:val="18"/>
              </w:rPr>
              <w:t>入库计划</w:t>
            </w:r>
          </w:p>
        </w:tc>
        <w:tc>
          <w:tcPr>
            <w:tcW w:type="dxa" w:w="3024"/>
            <w:vAlign w:val="center"/>
          </w:tcPr>
          <w:p>
            <w:pPr>
              <w:spacing w:after="40"/>
            </w:pPr>
            <w:r>
              <w:rPr>
                <w:rFonts w:ascii="Microsoft YaHei" w:hAnsi="Microsoft YaHei" w:eastAsia="Microsoft YaHei"/>
                <w:sz w:val="18"/>
              </w:rPr>
              <w:t>调用 RPC/API 或动态表写入</w:t>
            </w:r>
          </w:p>
        </w:tc>
        <w:tc>
          <w:tcPr>
            <w:tcW w:type="dxa" w:w="2088"/>
            <w:vAlign w:val="center"/>
          </w:tcPr>
          <w:p>
            <w:pPr>
              <w:spacing w:after="40"/>
            </w:pPr>
            <w:r>
              <w:rPr>
                <w:rFonts w:ascii="Microsoft YaHei" w:hAnsi="Microsoft YaHei" w:eastAsia="Microsoft YaHei"/>
                <w:sz w:val="18"/>
              </w:rPr>
              <w:t>业务单据和 document_business_links</w:t>
            </w:r>
          </w:p>
        </w:tc>
        <w:tc>
          <w:tcPr>
            <w:tcW w:type="dxa" w:w="2808"/>
            <w:vAlign w:val="center"/>
          </w:tcPr>
          <w:p>
            <w:pPr>
              <w:spacing w:after="40"/>
            </w:pPr>
            <w:r>
              <w:rPr>
                <w:rFonts w:ascii="Microsoft YaHei" w:hAnsi="Microsoft YaHei" w:eastAsia="Microsoft YaHei"/>
                <w:sz w:val="18"/>
              </w:rPr>
              <w:t>业务表、业务 id、入库状态</w:t>
            </w:r>
          </w:p>
        </w:tc>
      </w:tr>
      <w:tr>
        <w:tc>
          <w:tcPr>
            <w:tcW w:type="dxa" w:w="1512"/>
            <w:vAlign w:val="center"/>
          </w:tcPr>
          <w:p>
            <w:pPr>
              <w:spacing w:after="40"/>
            </w:pPr>
            <w:r>
              <w:rPr>
                <w:rFonts w:ascii="Microsoft YaHei" w:hAnsi="Microsoft YaHei" w:eastAsia="Microsoft YaHei"/>
                <w:sz w:val="18"/>
              </w:rPr>
              <w:t>修正</w:t>
            </w:r>
          </w:p>
        </w:tc>
        <w:tc>
          <w:tcPr>
            <w:tcW w:type="dxa" w:w="2088"/>
            <w:vAlign w:val="center"/>
          </w:tcPr>
          <w:p>
            <w:pPr>
              <w:spacing w:after="40"/>
            </w:pPr>
            <w:r>
              <w:rPr>
                <w:rFonts w:ascii="Microsoft YaHei" w:hAnsi="Microsoft YaHei" w:eastAsia="Microsoft YaHei"/>
                <w:sz w:val="18"/>
              </w:rPr>
              <w:t>用户修改或审核</w:t>
            </w:r>
          </w:p>
        </w:tc>
        <w:tc>
          <w:tcPr>
            <w:tcW w:type="dxa" w:w="3024"/>
            <w:vAlign w:val="center"/>
          </w:tcPr>
          <w:p>
            <w:pPr>
              <w:spacing w:after="40"/>
            </w:pPr>
            <w:r>
              <w:rPr>
                <w:rFonts w:ascii="Microsoft YaHei" w:hAnsi="Microsoft YaHei" w:eastAsia="Microsoft YaHei"/>
                <w:sz w:val="18"/>
              </w:rPr>
              <w:t>保存修正记录和学习线索</w:t>
            </w:r>
          </w:p>
        </w:tc>
        <w:tc>
          <w:tcPr>
            <w:tcW w:type="dxa" w:w="2088"/>
            <w:vAlign w:val="center"/>
          </w:tcPr>
          <w:p>
            <w:pPr>
              <w:spacing w:after="40"/>
            </w:pPr>
            <w:r>
              <w:rPr>
                <w:rFonts w:ascii="Microsoft YaHei" w:hAnsi="Microsoft YaHei" w:eastAsia="Microsoft YaHei"/>
                <w:sz w:val="18"/>
              </w:rPr>
              <w:t>ai_business_corrections</w:t>
            </w:r>
          </w:p>
        </w:tc>
        <w:tc>
          <w:tcPr>
            <w:tcW w:type="dxa" w:w="2808"/>
            <w:vAlign w:val="center"/>
          </w:tcPr>
          <w:p>
            <w:pPr>
              <w:spacing w:after="40"/>
            </w:pPr>
            <w:r>
              <w:rPr>
                <w:rFonts w:ascii="Microsoft YaHei" w:hAnsi="Microsoft YaHei" w:eastAsia="Microsoft YaHei"/>
                <w:sz w:val="18"/>
              </w:rPr>
              <w:t>原值、新值、修正人、原因</w:t>
            </w:r>
          </w:p>
        </w:tc>
      </w:tr>
    </w:tbl>
    <w:p/>
    <w:p>
      <w:pPr>
        <w:pStyle w:val="Heading1"/>
      </w:pPr>
      <w:r>
        <w:rPr>
          <w:rFonts w:ascii="Microsoft YaHei" w:hAnsi="Microsoft YaHei" w:eastAsia="Microsoft YaHei"/>
          <w:b/>
          <w:color w:val="2E74B5"/>
          <w:sz w:val="32"/>
        </w:rPr>
        <w:t>13 Windows 采集端与客户端日志能力</w:t>
      </w:r>
    </w:p>
    <w:p>
      <w:pPr>
        <w:spacing w:after="120" w:line="276" w:lineRule="auto"/>
        <w:ind w:firstLine="403"/>
      </w:pPr>
      <w:r>
        <w:rPr>
          <w:rFonts w:ascii="Microsoft YaHei" w:hAnsi="Microsoft YaHei" w:eastAsia="Microsoft YaHei"/>
          <w:sz w:val="21"/>
        </w:rPr>
        <w:t>Windows 采集端是智能收单落地的关键产品形态。用户提出可以做一个浏览器套壳，默认打开 EISCore 网站，管理员配置远端访问域名或 IP 端口，用户拖拽多模态文件直接收录进去，同时采集前端报错日志和其他日志，并且采集电脑需要附带哪个用户上传。当前 collector-desktop 项目已经与这个方向高度一致。</w:t>
      </w:r>
    </w:p>
    <w:p>
      <w:pPr>
        <w:spacing w:after="120" w:line="276" w:lineRule="auto"/>
        <w:ind w:firstLine="403"/>
      </w:pPr>
      <w:r>
        <w:rPr>
          <w:rFonts w:ascii="Microsoft YaHei" w:hAnsi="Microsoft YaHei" w:eastAsia="Microsoft YaHei"/>
          <w:sz w:val="21"/>
        </w:rPr>
        <w:t>采集端技术栈为 .NET 7、WPF、WebView2、Microsoft.Data.Sqlite、Windows Forms NotifyIcon、Windows DPAPI、Named Mutex/EventWaitHandle 和 Inno Setup。WebView2 负责承载 EISCore 网站；WPF 负责本地壳、配置和托盘；SQLite 保存上传队列和日志；DPAPI 加密保存 device_token；Inno Setup 支持静默安装和自动更新。</w:t>
      </w:r>
    </w:p>
    <w:p>
      <w:pPr>
        <w:spacing w:after="120" w:line="276" w:lineRule="auto"/>
        <w:ind w:firstLine="403"/>
      </w:pPr>
      <w:r>
        <w:rPr>
          <w:rFonts w:ascii="Microsoft YaHei" w:hAnsi="Microsoft YaHei" w:eastAsia="Microsoft YaHei"/>
          <w:sz w:val="21"/>
        </w:rPr>
        <w:t>采集端本地数据默认写入 %AppData%\EISCore\Collector，包括 collector-config.json、collector.db、crash-dumps 和 updates。配置文件保存服务器地址、设备信息、默认上传用户、监听目录和客户端版本。设备 token 使用当前 Windows 用户 DPAPI 加密，换用户或换机器后不能直接复用，这对工厂多电脑部署是必要的安全边界。</w:t>
      </w:r>
    </w:p>
    <w:p>
      <w:pPr>
        <w:spacing w:after="120" w:line="276" w:lineRule="auto"/>
        <w:ind w:firstLine="403"/>
      </w:pPr>
      <w:r>
        <w:rPr>
          <w:rFonts w:ascii="Microsoft YaHei" w:hAnsi="Microsoft YaHei" w:eastAsia="Microsoft YaHei"/>
          <w:sz w:val="21"/>
        </w:rPr>
        <w:t>采集端支持手动选择文件、窗口拖拽文件和本地目录监听。文件入队前会等待写入稳定，计算 SHA256 hash，写入 SQLite 队列；断网失败后保留并后台重试；重复 hash 可以跳过。这个设计符合工厂现场“随手丢文件”的习惯，也避免网络不稳定时资料丢失。</w:t>
      </w:r>
    </w:p>
    <w:p>
      <w:pPr>
        <w:spacing w:after="120" w:line="276" w:lineRule="auto"/>
        <w:ind w:firstLine="403"/>
      </w:pPr>
      <w:r>
        <w:rPr>
          <w:rFonts w:ascii="Microsoft YaHei" w:hAnsi="Microsoft YaHei" w:eastAsia="Microsoft YaHei"/>
          <w:sz w:val="21"/>
        </w:rPr>
        <w:t>日志采集是用户特别提到的需求。采集端已设计收集 WebView2 导航失败、进程异常、前端 JS 错误、Promise 异常、console 错误、资源加载失败和 HTTP 错误；客户端日志先落本地 SQLite，脱敏后批量上报。后续还可以把用户操作、上传状态、设备心跳、更新失败、崩溃摘要和本地磁盘异常纳入日志中心。</w:t>
      </w:r>
    </w:p>
    <w:p>
      <w:pPr>
        <w:spacing w:after="120" w:line="276" w:lineRule="auto"/>
        <w:ind w:firstLine="403"/>
      </w:pPr>
      <w:r>
        <w:rPr>
          <w:rFonts w:ascii="Microsoft YaHei" w:hAnsi="Microsoft YaHei" w:eastAsia="Microsoft YaHei"/>
          <w:sz w:val="21"/>
        </w:rPr>
        <w:t>自动更新能力对工厂部署非常重要。采集端通过远程配置获取 update manifest，下载更新包，校验 SHA256，按策略决定是否自动安装。发布脚本可生成 zip、EXE 安装器和 update.json，并支持本地 WSL 一键验收。正式环境应明确更新灰度策略、强制更新条件、失败回滚方式和版本兼容规则。</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340"/>
        <w:gridCol w:w="2340"/>
        <w:gridCol w:w="2340"/>
        <w:gridCol w:w="2340"/>
      </w:tblGrid>
      <w:tr>
        <w:tc>
          <w:tcPr>
            <w:tcW w:type="dxa" w:w="1800"/>
            <w:shd w:fill="E8EEF5"/>
            <w:vAlign w:val="center"/>
          </w:tcPr>
          <w:p>
            <w:pPr>
              <w:jc w:val="center"/>
            </w:pPr>
            <w:r>
              <w:rPr>
                <w:rFonts w:ascii="Microsoft YaHei" w:hAnsi="Microsoft YaHei" w:eastAsia="Microsoft YaHei"/>
                <w:b/>
                <w:sz w:val="18"/>
              </w:rPr>
              <w:t>能力</w:t>
            </w:r>
          </w:p>
        </w:tc>
        <w:tc>
          <w:tcPr>
            <w:tcW w:type="dxa" w:w="2520"/>
            <w:shd w:fill="E8EEF5"/>
            <w:vAlign w:val="center"/>
          </w:tcPr>
          <w:p>
            <w:pPr>
              <w:jc w:val="center"/>
            </w:pPr>
            <w:r>
              <w:rPr>
                <w:rFonts w:ascii="Microsoft YaHei" w:hAnsi="Microsoft YaHei" w:eastAsia="Microsoft YaHei"/>
                <w:b/>
                <w:sz w:val="18"/>
              </w:rPr>
              <w:t>当前设计</w:t>
            </w:r>
          </w:p>
        </w:tc>
        <w:tc>
          <w:tcPr>
            <w:tcW w:type="dxa" w:w="2520"/>
            <w:shd w:fill="E8EEF5"/>
            <w:vAlign w:val="center"/>
          </w:tcPr>
          <w:p>
            <w:pPr>
              <w:jc w:val="center"/>
            </w:pPr>
            <w:r>
              <w:rPr>
                <w:rFonts w:ascii="Microsoft YaHei" w:hAnsi="Microsoft YaHei" w:eastAsia="Microsoft YaHei"/>
                <w:b/>
                <w:sz w:val="18"/>
              </w:rPr>
              <w:t>业务价值</w:t>
            </w:r>
          </w:p>
        </w:tc>
        <w:tc>
          <w:tcPr>
            <w:tcW w:type="dxa" w:w="2520"/>
            <w:shd w:fill="E8EEF5"/>
            <w:vAlign w:val="center"/>
          </w:tcPr>
          <w:p>
            <w:pPr>
              <w:jc w:val="center"/>
            </w:pPr>
            <w:r>
              <w:rPr>
                <w:rFonts w:ascii="Microsoft YaHei" w:hAnsi="Microsoft YaHei" w:eastAsia="Microsoft YaHei"/>
                <w:b/>
                <w:sz w:val="18"/>
              </w:rPr>
              <w:t>注意事项</w:t>
            </w:r>
          </w:p>
        </w:tc>
      </w:tr>
      <w:tr>
        <w:tc>
          <w:tcPr>
            <w:tcW w:type="dxa" w:w="1800"/>
            <w:vAlign w:val="center"/>
          </w:tcPr>
          <w:p>
            <w:pPr>
              <w:spacing w:after="40"/>
            </w:pPr>
            <w:r>
              <w:rPr>
                <w:rFonts w:ascii="Microsoft YaHei" w:hAnsi="Microsoft YaHei" w:eastAsia="Microsoft YaHei"/>
                <w:sz w:val="18"/>
              </w:rPr>
              <w:t>浏览器套壳</w:t>
            </w:r>
          </w:p>
        </w:tc>
        <w:tc>
          <w:tcPr>
            <w:tcW w:type="dxa" w:w="2520"/>
            <w:vAlign w:val="center"/>
          </w:tcPr>
          <w:p>
            <w:pPr>
              <w:spacing w:after="40"/>
            </w:pPr>
            <w:r>
              <w:rPr>
                <w:rFonts w:ascii="Microsoft YaHei" w:hAnsi="Microsoft YaHei" w:eastAsia="Microsoft YaHei"/>
                <w:sz w:val="18"/>
              </w:rPr>
              <w:t>WPF + WebView2 打开配置站点</w:t>
            </w:r>
          </w:p>
        </w:tc>
        <w:tc>
          <w:tcPr>
            <w:tcW w:type="dxa" w:w="2520"/>
            <w:vAlign w:val="center"/>
          </w:tcPr>
          <w:p>
            <w:pPr>
              <w:spacing w:after="40"/>
            </w:pPr>
            <w:r>
              <w:rPr>
                <w:rFonts w:ascii="Microsoft YaHei" w:hAnsi="Microsoft YaHei" w:eastAsia="Microsoft YaHei"/>
                <w:sz w:val="18"/>
              </w:rPr>
              <w:t>用户像使用桌面软件一样进入 EISCore</w:t>
            </w:r>
          </w:p>
        </w:tc>
        <w:tc>
          <w:tcPr>
            <w:tcW w:type="dxa" w:w="2520"/>
            <w:vAlign w:val="center"/>
          </w:tcPr>
          <w:p>
            <w:pPr>
              <w:spacing w:after="40"/>
            </w:pPr>
            <w:r>
              <w:rPr>
                <w:rFonts w:ascii="Microsoft YaHei" w:hAnsi="Microsoft YaHei" w:eastAsia="Microsoft YaHei"/>
                <w:sz w:val="18"/>
              </w:rPr>
              <w:t>站点地址和证书需要易配置</w:t>
            </w:r>
          </w:p>
        </w:tc>
      </w:tr>
      <w:tr>
        <w:tc>
          <w:tcPr>
            <w:tcW w:type="dxa" w:w="1800"/>
            <w:vAlign w:val="center"/>
          </w:tcPr>
          <w:p>
            <w:pPr>
              <w:spacing w:after="40"/>
            </w:pPr>
            <w:r>
              <w:rPr>
                <w:rFonts w:ascii="Microsoft YaHei" w:hAnsi="Microsoft YaHei" w:eastAsia="Microsoft YaHei"/>
                <w:sz w:val="18"/>
              </w:rPr>
              <w:t>设备绑定</w:t>
            </w:r>
          </w:p>
        </w:tc>
        <w:tc>
          <w:tcPr>
            <w:tcW w:type="dxa" w:w="2520"/>
            <w:vAlign w:val="center"/>
          </w:tcPr>
          <w:p>
            <w:pPr>
              <w:spacing w:after="40"/>
            </w:pPr>
            <w:r>
              <w:rPr>
                <w:rFonts w:ascii="Microsoft YaHei" w:hAnsi="Microsoft YaHei" w:eastAsia="Microsoft YaHei"/>
                <w:sz w:val="18"/>
              </w:rPr>
              <w:t>设备码、授权码、DPAPI token</w:t>
            </w:r>
          </w:p>
        </w:tc>
        <w:tc>
          <w:tcPr>
            <w:tcW w:type="dxa" w:w="2520"/>
            <w:vAlign w:val="center"/>
          </w:tcPr>
          <w:p>
            <w:pPr>
              <w:spacing w:after="40"/>
            </w:pPr>
            <w:r>
              <w:rPr>
                <w:rFonts w:ascii="Microsoft YaHei" w:hAnsi="Microsoft YaHei" w:eastAsia="Microsoft YaHei"/>
                <w:sz w:val="18"/>
              </w:rPr>
              <w:t>识别采集电脑和企业归属</w:t>
            </w:r>
          </w:p>
        </w:tc>
        <w:tc>
          <w:tcPr>
            <w:tcW w:type="dxa" w:w="2520"/>
            <w:vAlign w:val="center"/>
          </w:tcPr>
          <w:p>
            <w:pPr>
              <w:spacing w:after="40"/>
            </w:pPr>
            <w:r>
              <w:rPr>
                <w:rFonts w:ascii="Microsoft YaHei" w:hAnsi="Microsoft YaHei" w:eastAsia="Microsoft YaHei"/>
                <w:sz w:val="18"/>
              </w:rPr>
              <w:t>离职、换机和重装要有解绑流程</w:t>
            </w:r>
          </w:p>
        </w:tc>
      </w:tr>
      <w:tr>
        <w:tc>
          <w:tcPr>
            <w:tcW w:type="dxa" w:w="1800"/>
            <w:vAlign w:val="center"/>
          </w:tcPr>
          <w:p>
            <w:pPr>
              <w:spacing w:after="40"/>
            </w:pPr>
            <w:r>
              <w:rPr>
                <w:rFonts w:ascii="Microsoft YaHei" w:hAnsi="Microsoft YaHei" w:eastAsia="Microsoft YaHei"/>
                <w:sz w:val="18"/>
              </w:rPr>
              <w:t>文件采集</w:t>
            </w:r>
          </w:p>
        </w:tc>
        <w:tc>
          <w:tcPr>
            <w:tcW w:type="dxa" w:w="2520"/>
            <w:vAlign w:val="center"/>
          </w:tcPr>
          <w:p>
            <w:pPr>
              <w:spacing w:after="40"/>
            </w:pPr>
            <w:r>
              <w:rPr>
                <w:rFonts w:ascii="Microsoft YaHei" w:hAnsi="Microsoft YaHei" w:eastAsia="Microsoft YaHei"/>
                <w:sz w:val="18"/>
              </w:rPr>
              <w:t>拖拽、手动选择、目录监听</w:t>
            </w:r>
          </w:p>
        </w:tc>
        <w:tc>
          <w:tcPr>
            <w:tcW w:type="dxa" w:w="2520"/>
            <w:vAlign w:val="center"/>
          </w:tcPr>
          <w:p>
            <w:pPr>
              <w:spacing w:after="40"/>
            </w:pPr>
            <w:r>
              <w:rPr>
                <w:rFonts w:ascii="Microsoft YaHei" w:hAnsi="Microsoft YaHei" w:eastAsia="Microsoft YaHei"/>
                <w:sz w:val="18"/>
              </w:rPr>
              <w:t>适配岗位电脑每日资料堆放</w:t>
            </w:r>
          </w:p>
        </w:tc>
        <w:tc>
          <w:tcPr>
            <w:tcW w:type="dxa" w:w="2520"/>
            <w:vAlign w:val="center"/>
          </w:tcPr>
          <w:p>
            <w:pPr>
              <w:spacing w:after="40"/>
            </w:pPr>
            <w:r>
              <w:rPr>
                <w:rFonts w:ascii="Microsoft YaHei" w:hAnsi="Microsoft YaHei" w:eastAsia="Microsoft YaHei"/>
                <w:sz w:val="18"/>
              </w:rPr>
              <w:t>等待文件写入稳定，防半截上传</w:t>
            </w:r>
          </w:p>
        </w:tc>
      </w:tr>
      <w:tr>
        <w:tc>
          <w:tcPr>
            <w:tcW w:type="dxa" w:w="1800"/>
            <w:vAlign w:val="center"/>
          </w:tcPr>
          <w:p>
            <w:pPr>
              <w:spacing w:after="40"/>
            </w:pPr>
            <w:r>
              <w:rPr>
                <w:rFonts w:ascii="Microsoft YaHei" w:hAnsi="Microsoft YaHei" w:eastAsia="Microsoft YaHei"/>
                <w:sz w:val="18"/>
              </w:rPr>
              <w:t>本地队列</w:t>
            </w:r>
          </w:p>
        </w:tc>
        <w:tc>
          <w:tcPr>
            <w:tcW w:type="dxa" w:w="2520"/>
            <w:vAlign w:val="center"/>
          </w:tcPr>
          <w:p>
            <w:pPr>
              <w:spacing w:after="40"/>
            </w:pPr>
            <w:r>
              <w:rPr>
                <w:rFonts w:ascii="Microsoft YaHei" w:hAnsi="Microsoft YaHei" w:eastAsia="Microsoft YaHei"/>
                <w:sz w:val="18"/>
              </w:rPr>
              <w:t>SQLite 保存任务和日志</w:t>
            </w:r>
          </w:p>
        </w:tc>
        <w:tc>
          <w:tcPr>
            <w:tcW w:type="dxa" w:w="2520"/>
            <w:vAlign w:val="center"/>
          </w:tcPr>
          <w:p>
            <w:pPr>
              <w:spacing w:after="40"/>
            </w:pPr>
            <w:r>
              <w:rPr>
                <w:rFonts w:ascii="Microsoft YaHei" w:hAnsi="Microsoft YaHei" w:eastAsia="Microsoft YaHei"/>
                <w:sz w:val="18"/>
              </w:rPr>
              <w:t>断网可恢复，避免丢单</w:t>
            </w:r>
          </w:p>
        </w:tc>
        <w:tc>
          <w:tcPr>
            <w:tcW w:type="dxa" w:w="2520"/>
            <w:vAlign w:val="center"/>
          </w:tcPr>
          <w:p>
            <w:pPr>
              <w:spacing w:after="40"/>
            </w:pPr>
            <w:r>
              <w:rPr>
                <w:rFonts w:ascii="Microsoft YaHei" w:hAnsi="Microsoft YaHei" w:eastAsia="Microsoft YaHei"/>
                <w:sz w:val="18"/>
              </w:rPr>
              <w:t>队列清理和磁盘上限要配置</w:t>
            </w:r>
          </w:p>
        </w:tc>
      </w:tr>
      <w:tr>
        <w:tc>
          <w:tcPr>
            <w:tcW w:type="dxa" w:w="1800"/>
            <w:vAlign w:val="center"/>
          </w:tcPr>
          <w:p>
            <w:pPr>
              <w:spacing w:after="40"/>
            </w:pPr>
            <w:r>
              <w:rPr>
                <w:rFonts w:ascii="Microsoft YaHei" w:hAnsi="Microsoft YaHei" w:eastAsia="Microsoft YaHei"/>
                <w:sz w:val="18"/>
              </w:rPr>
              <w:t>日志采集</w:t>
            </w:r>
          </w:p>
        </w:tc>
        <w:tc>
          <w:tcPr>
            <w:tcW w:type="dxa" w:w="2520"/>
            <w:vAlign w:val="center"/>
          </w:tcPr>
          <w:p>
            <w:pPr>
              <w:spacing w:after="40"/>
            </w:pPr>
            <w:r>
              <w:rPr>
                <w:rFonts w:ascii="Microsoft YaHei" w:hAnsi="Microsoft YaHei" w:eastAsia="Microsoft YaHei"/>
                <w:sz w:val="18"/>
              </w:rPr>
              <w:t>JS、Promise、console、HTTP、崩溃 dump</w:t>
            </w:r>
          </w:p>
        </w:tc>
        <w:tc>
          <w:tcPr>
            <w:tcW w:type="dxa" w:w="2520"/>
            <w:vAlign w:val="center"/>
          </w:tcPr>
          <w:p>
            <w:pPr>
              <w:spacing w:after="40"/>
            </w:pPr>
            <w:r>
              <w:rPr>
                <w:rFonts w:ascii="Microsoft YaHei" w:hAnsi="Microsoft YaHei" w:eastAsia="Microsoft YaHei"/>
                <w:sz w:val="18"/>
              </w:rPr>
              <w:t>远程排查前端和客户端问题</w:t>
            </w:r>
          </w:p>
        </w:tc>
        <w:tc>
          <w:tcPr>
            <w:tcW w:type="dxa" w:w="2520"/>
            <w:vAlign w:val="center"/>
          </w:tcPr>
          <w:p>
            <w:pPr>
              <w:spacing w:after="40"/>
            </w:pPr>
            <w:r>
              <w:rPr>
                <w:rFonts w:ascii="Microsoft YaHei" w:hAnsi="Microsoft YaHei" w:eastAsia="Microsoft YaHei"/>
                <w:sz w:val="18"/>
              </w:rPr>
              <w:t>脱敏和保留周期要明确</w:t>
            </w:r>
          </w:p>
        </w:tc>
      </w:tr>
      <w:tr>
        <w:tc>
          <w:tcPr>
            <w:tcW w:type="dxa" w:w="1800"/>
            <w:vAlign w:val="center"/>
          </w:tcPr>
          <w:p>
            <w:pPr>
              <w:spacing w:after="40"/>
            </w:pPr>
            <w:r>
              <w:rPr>
                <w:rFonts w:ascii="Microsoft YaHei" w:hAnsi="Microsoft YaHei" w:eastAsia="Microsoft YaHei"/>
                <w:sz w:val="18"/>
              </w:rPr>
              <w:t>自动更新</w:t>
            </w:r>
          </w:p>
        </w:tc>
        <w:tc>
          <w:tcPr>
            <w:tcW w:type="dxa" w:w="2520"/>
            <w:vAlign w:val="center"/>
          </w:tcPr>
          <w:p>
            <w:pPr>
              <w:spacing w:after="40"/>
            </w:pPr>
            <w:r>
              <w:rPr>
                <w:rFonts w:ascii="Microsoft YaHei" w:hAnsi="Microsoft YaHei" w:eastAsia="Microsoft YaHei"/>
                <w:sz w:val="18"/>
              </w:rPr>
              <w:t>manifest、SHA256、静默安装</w:t>
            </w:r>
          </w:p>
        </w:tc>
        <w:tc>
          <w:tcPr>
            <w:tcW w:type="dxa" w:w="2520"/>
            <w:vAlign w:val="center"/>
          </w:tcPr>
          <w:p>
            <w:pPr>
              <w:spacing w:after="40"/>
            </w:pPr>
            <w:r>
              <w:rPr>
                <w:rFonts w:ascii="Microsoft YaHei" w:hAnsi="Microsoft YaHei" w:eastAsia="Microsoft YaHei"/>
                <w:sz w:val="18"/>
              </w:rPr>
              <w:t>降低现场维护成本</w:t>
            </w:r>
          </w:p>
        </w:tc>
        <w:tc>
          <w:tcPr>
            <w:tcW w:type="dxa" w:w="2520"/>
            <w:vAlign w:val="center"/>
          </w:tcPr>
          <w:p>
            <w:pPr>
              <w:spacing w:after="40"/>
            </w:pPr>
            <w:r>
              <w:rPr>
                <w:rFonts w:ascii="Microsoft YaHei" w:hAnsi="Microsoft YaHei" w:eastAsia="Microsoft YaHei"/>
                <w:sz w:val="18"/>
              </w:rPr>
              <w:t>灰度、回滚和强制升级策略</w:t>
            </w:r>
          </w:p>
        </w:tc>
      </w:tr>
    </w:tbl>
    <w:p/>
    <w:p>
      <w:pPr>
        <w:pStyle w:val="Heading1"/>
      </w:pPr>
      <w:r>
        <w:rPr>
          <w:rFonts w:ascii="Microsoft YaHei" w:hAnsi="Microsoft YaHei" w:eastAsia="Microsoft YaHei"/>
          <w:b/>
          <w:color w:val="2E74B5"/>
          <w:sz w:val="32"/>
        </w:rPr>
        <w:t>14 权限、安全、审计与数据治理</w:t>
      </w:r>
    </w:p>
    <w:p>
      <w:pPr>
        <w:spacing w:after="120" w:line="276" w:lineRule="auto"/>
        <w:ind w:firstLine="403"/>
      </w:pPr>
      <w:r>
        <w:rPr>
          <w:rFonts w:ascii="Microsoft YaHei" w:hAnsi="Microsoft YaHei" w:eastAsia="Microsoft YaHei"/>
          <w:sz w:val="21"/>
        </w:rPr>
        <w:t>EISCore 的权限安全不能只理解为登录和菜单显示。由于系统使用 PostgREST 暴露数据库对象，又引入动态应用、工作流、Agent 工具和采集端自动入库，权限需要覆盖表访问、字段访问、业务动作、流程节点、Agent 工具、设备 token、日志查看和文件下载等多个层次。</w:t>
      </w:r>
    </w:p>
    <w:p>
      <w:pPr>
        <w:spacing w:after="120" w:line="276" w:lineRule="auto"/>
        <w:ind w:firstLine="403"/>
      </w:pPr>
      <w:r>
        <w:rPr>
          <w:rFonts w:ascii="Microsoft YaHei" w:hAnsi="Microsoft YaHei" w:eastAsia="Microsoft YaHei"/>
          <w:sz w:val="21"/>
        </w:rPr>
        <w:t>数据库层应继续强化 RLS 和角色策略。PostgREST 的 PGRST_DB_ANON_ROLE 设置为 web_anon，JWT 密钥用于识别请求身份；工作流和文档采集已有 RLS hardening 脚本。对固定业务表和动态表，建议建立一致的策略模板：读权限、写权限、审核权限、管理员权限、跨部门权限和 Agent 服务权限分开表达。</w:t>
      </w:r>
    </w:p>
    <w:p>
      <w:pPr>
        <w:spacing w:after="120" w:line="276" w:lineRule="auto"/>
        <w:ind w:firstLine="403"/>
      </w:pPr>
      <w:r>
        <w:rPr>
          <w:rFonts w:ascii="Microsoft YaHei" w:hAnsi="Microsoft YaHei" w:eastAsia="Microsoft YaHei"/>
          <w:sz w:val="21"/>
        </w:rPr>
        <w:t>字段权限在动态业务表中尤其重要。企业可能允许普通用户查看单据状态和数量，但不允许查看金额、成本、供应商报价或工资信息。应用中心如果支持动态新增字段，就必须同步支持字段可见、字段可编辑、字段脱敏和字段审计，否则动态能力越强，越容易产生越权风险。</w:t>
      </w:r>
    </w:p>
    <w:p>
      <w:pPr>
        <w:spacing w:after="120" w:line="276" w:lineRule="auto"/>
        <w:ind w:firstLine="403"/>
      </w:pPr>
      <w:r>
        <w:rPr>
          <w:rFonts w:ascii="Microsoft YaHei" w:hAnsi="Microsoft YaHei" w:eastAsia="Microsoft YaHei"/>
          <w:sz w:val="21"/>
        </w:rPr>
        <w:t>Agent 安全的核心是最小权限和可解释工具调用。Agent 不应直接拥有数据库超级权限，也不应凭自然语言任意构造 SQL 写入。更合理的模式是：只暴露声明式工具，每个工具有权限声明、参数校验、执行日志和返回限制；写操作尽量调用受控 RPC；高风险动作需要人工确认或工作流审批。</w:t>
      </w:r>
    </w:p>
    <w:p>
      <w:pPr>
        <w:spacing w:after="120" w:line="276" w:lineRule="auto"/>
        <w:ind w:firstLine="403"/>
      </w:pPr>
      <w:r>
        <w:rPr>
          <w:rFonts w:ascii="Microsoft YaHei" w:hAnsi="Microsoft YaHei" w:eastAsia="Microsoft YaHei"/>
          <w:sz w:val="21"/>
        </w:rPr>
        <w:t>采集端安全包括设备绑定、token 加密、上传用户识别、文件类型限制、hash 校验、分片完整性、日志脱敏和更新包校验。采集端位于工厂电脑，环境不可控，必须默认认为本地文件和网络会出错。系统已经使用 DPAPI、SHA256、SQLite 队列和 manifest 校验，这是正确基础，后续要补充设备注销、远程禁用和异常设备告警。</w:t>
      </w:r>
    </w:p>
    <w:p>
      <w:pPr>
        <w:spacing w:after="120" w:line="276" w:lineRule="auto"/>
        <w:ind w:firstLine="403"/>
      </w:pPr>
      <w:r>
        <w:rPr>
          <w:rFonts w:ascii="Microsoft YaHei" w:hAnsi="Microsoft YaHei" w:eastAsia="Microsoft YaHei"/>
          <w:sz w:val="21"/>
        </w:rPr>
        <w:t>审计层应覆盖业务数据和平台配置。业务单据需要记录创建来源、创建人、AI 来源、原始资料、修改人、审核人和状态变化；动态配置需要记录字段新增、语义修改、流程发布、权限变更和 Agent 执行；客户端日志需要记录设备、版本、错误类型和脱敏上下文。只有审计完整，系统才能承受 AI 自动化带来的不确定性。</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340"/>
        <w:gridCol w:w="2340"/>
        <w:gridCol w:w="2340"/>
        <w:gridCol w:w="2340"/>
      </w:tblGrid>
      <w:tr>
        <w:tc>
          <w:tcPr>
            <w:tcW w:type="dxa" w:w="1800"/>
            <w:shd w:fill="E8EEF5"/>
            <w:vAlign w:val="center"/>
          </w:tcPr>
          <w:p>
            <w:pPr>
              <w:jc w:val="center"/>
            </w:pPr>
            <w:r>
              <w:rPr>
                <w:rFonts w:ascii="Microsoft YaHei" w:hAnsi="Microsoft YaHei" w:eastAsia="Microsoft YaHei"/>
                <w:b/>
                <w:sz w:val="18"/>
              </w:rPr>
              <w:t>安全对象</w:t>
            </w:r>
          </w:p>
        </w:tc>
        <w:tc>
          <w:tcPr>
            <w:tcW w:type="dxa" w:w="2448"/>
            <w:shd w:fill="E8EEF5"/>
            <w:vAlign w:val="center"/>
          </w:tcPr>
          <w:p>
            <w:pPr>
              <w:jc w:val="center"/>
            </w:pPr>
            <w:r>
              <w:rPr>
                <w:rFonts w:ascii="Microsoft YaHei" w:hAnsi="Microsoft YaHei" w:eastAsia="Microsoft YaHei"/>
                <w:b/>
                <w:sz w:val="18"/>
              </w:rPr>
              <w:t>风险</w:t>
            </w:r>
          </w:p>
        </w:tc>
        <w:tc>
          <w:tcPr>
            <w:tcW w:type="dxa" w:w="2376"/>
            <w:shd w:fill="E8EEF5"/>
            <w:vAlign w:val="center"/>
          </w:tcPr>
          <w:p>
            <w:pPr>
              <w:jc w:val="center"/>
            </w:pPr>
            <w:r>
              <w:rPr>
                <w:rFonts w:ascii="Microsoft YaHei" w:hAnsi="Microsoft YaHei" w:eastAsia="Microsoft YaHei"/>
                <w:b/>
                <w:sz w:val="18"/>
              </w:rPr>
              <w:t>当前基础</w:t>
            </w:r>
          </w:p>
        </w:tc>
        <w:tc>
          <w:tcPr>
            <w:tcW w:type="dxa" w:w="2736"/>
            <w:shd w:fill="E8EEF5"/>
            <w:vAlign w:val="center"/>
          </w:tcPr>
          <w:p>
            <w:pPr>
              <w:jc w:val="center"/>
            </w:pPr>
            <w:r>
              <w:rPr>
                <w:rFonts w:ascii="Microsoft YaHei" w:hAnsi="Microsoft YaHei" w:eastAsia="Microsoft YaHei"/>
                <w:b/>
                <w:sz w:val="18"/>
              </w:rPr>
              <w:t>建议</w:t>
            </w:r>
          </w:p>
        </w:tc>
      </w:tr>
      <w:tr>
        <w:tc>
          <w:tcPr>
            <w:tcW w:type="dxa" w:w="1800"/>
            <w:vAlign w:val="center"/>
          </w:tcPr>
          <w:p>
            <w:pPr>
              <w:spacing w:after="40"/>
            </w:pPr>
            <w:r>
              <w:rPr>
                <w:rFonts w:ascii="Microsoft YaHei" w:hAnsi="Microsoft YaHei" w:eastAsia="Microsoft YaHei"/>
                <w:sz w:val="18"/>
              </w:rPr>
              <w:t>数据库表/API</w:t>
            </w:r>
          </w:p>
        </w:tc>
        <w:tc>
          <w:tcPr>
            <w:tcW w:type="dxa" w:w="2448"/>
            <w:vAlign w:val="center"/>
          </w:tcPr>
          <w:p>
            <w:pPr>
              <w:spacing w:after="40"/>
            </w:pPr>
            <w:r>
              <w:rPr>
                <w:rFonts w:ascii="Microsoft YaHei" w:hAnsi="Microsoft YaHei" w:eastAsia="Microsoft YaHei"/>
                <w:sz w:val="18"/>
              </w:rPr>
              <w:t>越权读写、直接绕过业务逻辑</w:t>
            </w:r>
          </w:p>
        </w:tc>
        <w:tc>
          <w:tcPr>
            <w:tcW w:type="dxa" w:w="2376"/>
            <w:vAlign w:val="center"/>
          </w:tcPr>
          <w:p>
            <w:pPr>
              <w:spacing w:after="40"/>
            </w:pPr>
            <w:r>
              <w:rPr>
                <w:rFonts w:ascii="Microsoft YaHei" w:hAnsi="Microsoft YaHei" w:eastAsia="Microsoft YaHei"/>
                <w:sz w:val="18"/>
              </w:rPr>
              <w:t>PostgREST、JWT、RLS patch</w:t>
            </w:r>
          </w:p>
        </w:tc>
        <w:tc>
          <w:tcPr>
            <w:tcW w:type="dxa" w:w="2736"/>
            <w:vAlign w:val="center"/>
          </w:tcPr>
          <w:p>
            <w:pPr>
              <w:spacing w:after="40"/>
            </w:pPr>
            <w:r>
              <w:rPr>
                <w:rFonts w:ascii="Microsoft YaHei" w:hAnsi="Microsoft YaHei" w:eastAsia="Microsoft YaHei"/>
                <w:sz w:val="18"/>
              </w:rPr>
              <w:t>统一 RLS 模板和 RPC 写入策略</w:t>
            </w:r>
          </w:p>
        </w:tc>
      </w:tr>
      <w:tr>
        <w:tc>
          <w:tcPr>
            <w:tcW w:type="dxa" w:w="1800"/>
            <w:vAlign w:val="center"/>
          </w:tcPr>
          <w:p>
            <w:pPr>
              <w:spacing w:after="40"/>
            </w:pPr>
            <w:r>
              <w:rPr>
                <w:rFonts w:ascii="Microsoft YaHei" w:hAnsi="Microsoft YaHei" w:eastAsia="Microsoft YaHei"/>
                <w:sz w:val="18"/>
              </w:rPr>
              <w:t>动态字段</w:t>
            </w:r>
          </w:p>
        </w:tc>
        <w:tc>
          <w:tcPr>
            <w:tcW w:type="dxa" w:w="2448"/>
            <w:vAlign w:val="center"/>
          </w:tcPr>
          <w:p>
            <w:pPr>
              <w:spacing w:after="40"/>
            </w:pPr>
            <w:r>
              <w:rPr>
                <w:rFonts w:ascii="Microsoft YaHei" w:hAnsi="Microsoft YaHei" w:eastAsia="Microsoft YaHei"/>
                <w:sz w:val="18"/>
              </w:rPr>
              <w:t>敏感字段被普通角色查看或导出</w:t>
            </w:r>
          </w:p>
        </w:tc>
        <w:tc>
          <w:tcPr>
            <w:tcW w:type="dxa" w:w="2376"/>
            <w:vAlign w:val="center"/>
          </w:tcPr>
          <w:p>
            <w:pPr>
              <w:spacing w:after="40"/>
            </w:pPr>
            <w:r>
              <w:rPr>
                <w:rFonts w:ascii="Microsoft YaHei" w:hAnsi="Microsoft YaHei" w:eastAsia="Microsoft YaHei"/>
                <w:sz w:val="18"/>
              </w:rPr>
              <w:t>应用中心字段配置基础</w:t>
            </w:r>
          </w:p>
        </w:tc>
        <w:tc>
          <w:tcPr>
            <w:tcW w:type="dxa" w:w="2736"/>
            <w:vAlign w:val="center"/>
          </w:tcPr>
          <w:p>
            <w:pPr>
              <w:spacing w:after="40"/>
            </w:pPr>
            <w:r>
              <w:rPr>
                <w:rFonts w:ascii="Microsoft YaHei" w:hAnsi="Microsoft YaHei" w:eastAsia="Microsoft YaHei"/>
                <w:sz w:val="18"/>
              </w:rPr>
              <w:t>字段级权限和脱敏规则</w:t>
            </w:r>
          </w:p>
        </w:tc>
      </w:tr>
      <w:tr>
        <w:tc>
          <w:tcPr>
            <w:tcW w:type="dxa" w:w="1800"/>
            <w:vAlign w:val="center"/>
          </w:tcPr>
          <w:p>
            <w:pPr>
              <w:spacing w:after="40"/>
            </w:pPr>
            <w:r>
              <w:rPr>
                <w:rFonts w:ascii="Microsoft YaHei" w:hAnsi="Microsoft YaHei" w:eastAsia="Microsoft YaHei"/>
                <w:sz w:val="18"/>
              </w:rPr>
              <w:t>工作流</w:t>
            </w:r>
          </w:p>
        </w:tc>
        <w:tc>
          <w:tcPr>
            <w:tcW w:type="dxa" w:w="2448"/>
            <w:vAlign w:val="center"/>
          </w:tcPr>
          <w:p>
            <w:pPr>
              <w:spacing w:after="40"/>
            </w:pPr>
            <w:r>
              <w:rPr>
                <w:rFonts w:ascii="Microsoft YaHei" w:hAnsi="Microsoft YaHei" w:eastAsia="Microsoft YaHei"/>
                <w:sz w:val="18"/>
              </w:rPr>
              <w:t>非办理人审批、重复流转、状态错乱</w:t>
            </w:r>
          </w:p>
        </w:tc>
        <w:tc>
          <w:tcPr>
            <w:tcW w:type="dxa" w:w="2376"/>
            <w:vAlign w:val="center"/>
          </w:tcPr>
          <w:p>
            <w:pPr>
              <w:spacing w:after="40"/>
            </w:pPr>
            <w:r>
              <w:rPr>
                <w:rFonts w:ascii="Microsoft YaHei" w:hAnsi="Microsoft YaHei" w:eastAsia="Microsoft YaHei"/>
                <w:sz w:val="18"/>
              </w:rPr>
              <w:t>workflow policy v2、task assignment</w:t>
            </w:r>
          </w:p>
        </w:tc>
        <w:tc>
          <w:tcPr>
            <w:tcW w:type="dxa" w:w="2736"/>
            <w:vAlign w:val="center"/>
          </w:tcPr>
          <w:p>
            <w:pPr>
              <w:spacing w:after="40"/>
            </w:pPr>
            <w:r>
              <w:rPr>
                <w:rFonts w:ascii="Microsoft YaHei" w:hAnsi="Microsoft YaHei" w:eastAsia="Microsoft YaHei"/>
                <w:sz w:val="18"/>
              </w:rPr>
              <w:t>幂等键、办理人校验、事件审计</w:t>
            </w:r>
          </w:p>
        </w:tc>
      </w:tr>
      <w:tr>
        <w:tc>
          <w:tcPr>
            <w:tcW w:type="dxa" w:w="1800"/>
            <w:vAlign w:val="center"/>
          </w:tcPr>
          <w:p>
            <w:pPr>
              <w:spacing w:after="40"/>
            </w:pPr>
            <w:r>
              <w:rPr>
                <w:rFonts w:ascii="Microsoft YaHei" w:hAnsi="Microsoft YaHei" w:eastAsia="Microsoft YaHei"/>
                <w:sz w:val="18"/>
              </w:rPr>
              <w:t>Agent 工具</w:t>
            </w:r>
          </w:p>
        </w:tc>
        <w:tc>
          <w:tcPr>
            <w:tcW w:type="dxa" w:w="2448"/>
            <w:vAlign w:val="center"/>
          </w:tcPr>
          <w:p>
            <w:pPr>
              <w:spacing w:after="40"/>
            </w:pPr>
            <w:r>
              <w:rPr>
                <w:rFonts w:ascii="Microsoft YaHei" w:hAnsi="Microsoft YaHei" w:eastAsia="Microsoft YaHei"/>
                <w:sz w:val="18"/>
              </w:rPr>
              <w:t>越权查询、误写入、误发布</w:t>
            </w:r>
          </w:p>
        </w:tc>
        <w:tc>
          <w:tcPr>
            <w:tcW w:type="dxa" w:w="2376"/>
            <w:vAlign w:val="center"/>
          </w:tcPr>
          <w:p>
            <w:pPr>
              <w:spacing w:after="40"/>
            </w:pPr>
            <w:r>
              <w:rPr>
                <w:rFonts w:ascii="Microsoft YaHei" w:hAnsi="Microsoft YaHei" w:eastAsia="Microsoft YaHei"/>
                <w:sz w:val="18"/>
              </w:rPr>
              <w:t>capability map、ontology secure context</w:t>
            </w:r>
          </w:p>
        </w:tc>
        <w:tc>
          <w:tcPr>
            <w:tcW w:type="dxa" w:w="2736"/>
            <w:vAlign w:val="center"/>
          </w:tcPr>
          <w:p>
            <w:pPr>
              <w:spacing w:after="40"/>
            </w:pPr>
            <w:r>
              <w:rPr>
                <w:rFonts w:ascii="Microsoft YaHei" w:hAnsi="Microsoft YaHei" w:eastAsia="Microsoft YaHei"/>
                <w:sz w:val="18"/>
              </w:rPr>
              <w:t>工具白名单、参数 schema、写操作确认</w:t>
            </w:r>
          </w:p>
        </w:tc>
      </w:tr>
      <w:tr>
        <w:tc>
          <w:tcPr>
            <w:tcW w:type="dxa" w:w="1800"/>
            <w:vAlign w:val="center"/>
          </w:tcPr>
          <w:p>
            <w:pPr>
              <w:spacing w:after="40"/>
            </w:pPr>
            <w:r>
              <w:rPr>
                <w:rFonts w:ascii="Microsoft YaHei" w:hAnsi="Microsoft YaHei" w:eastAsia="Microsoft YaHei"/>
                <w:sz w:val="18"/>
              </w:rPr>
              <w:t>采集设备</w:t>
            </w:r>
          </w:p>
        </w:tc>
        <w:tc>
          <w:tcPr>
            <w:tcW w:type="dxa" w:w="2448"/>
            <w:vAlign w:val="center"/>
          </w:tcPr>
          <w:p>
            <w:pPr>
              <w:spacing w:after="40"/>
            </w:pPr>
            <w:r>
              <w:rPr>
                <w:rFonts w:ascii="Microsoft YaHei" w:hAnsi="Microsoft YaHei" w:eastAsia="Microsoft YaHei"/>
                <w:sz w:val="18"/>
              </w:rPr>
              <w:t>设备冒用、token 泄露、重复上传</w:t>
            </w:r>
          </w:p>
        </w:tc>
        <w:tc>
          <w:tcPr>
            <w:tcW w:type="dxa" w:w="2376"/>
            <w:vAlign w:val="center"/>
          </w:tcPr>
          <w:p>
            <w:pPr>
              <w:spacing w:after="40"/>
            </w:pPr>
            <w:r>
              <w:rPr>
                <w:rFonts w:ascii="Microsoft YaHei" w:hAnsi="Microsoft YaHei" w:eastAsia="Microsoft YaHei"/>
                <w:sz w:val="18"/>
              </w:rPr>
              <w:t>DPAPI、device token、hash</w:t>
            </w:r>
          </w:p>
        </w:tc>
        <w:tc>
          <w:tcPr>
            <w:tcW w:type="dxa" w:w="2736"/>
            <w:vAlign w:val="center"/>
          </w:tcPr>
          <w:p>
            <w:pPr>
              <w:spacing w:after="40"/>
            </w:pPr>
            <w:r>
              <w:rPr>
                <w:rFonts w:ascii="Microsoft YaHei" w:hAnsi="Microsoft YaHei" w:eastAsia="Microsoft YaHei"/>
                <w:sz w:val="18"/>
              </w:rPr>
              <w:t>设备禁用、轮换 token、异常上报</w:t>
            </w:r>
          </w:p>
        </w:tc>
      </w:tr>
      <w:tr>
        <w:tc>
          <w:tcPr>
            <w:tcW w:type="dxa" w:w="1800"/>
            <w:vAlign w:val="center"/>
          </w:tcPr>
          <w:p>
            <w:pPr>
              <w:spacing w:after="40"/>
            </w:pPr>
            <w:r>
              <w:rPr>
                <w:rFonts w:ascii="Microsoft YaHei" w:hAnsi="Microsoft YaHei" w:eastAsia="Microsoft YaHei"/>
                <w:sz w:val="18"/>
              </w:rPr>
              <w:t>客户端日志</w:t>
            </w:r>
          </w:p>
        </w:tc>
        <w:tc>
          <w:tcPr>
            <w:tcW w:type="dxa" w:w="2448"/>
            <w:vAlign w:val="center"/>
          </w:tcPr>
          <w:p>
            <w:pPr>
              <w:spacing w:after="40"/>
            </w:pPr>
            <w:r>
              <w:rPr>
                <w:rFonts w:ascii="Microsoft YaHei" w:hAnsi="Microsoft YaHei" w:eastAsia="Microsoft YaHei"/>
                <w:sz w:val="18"/>
              </w:rPr>
              <w:t>日志泄露隐私或堆栈含敏感信息</w:t>
            </w:r>
          </w:p>
        </w:tc>
        <w:tc>
          <w:tcPr>
            <w:tcW w:type="dxa" w:w="2376"/>
            <w:vAlign w:val="center"/>
          </w:tcPr>
          <w:p>
            <w:pPr>
              <w:spacing w:after="40"/>
            </w:pPr>
            <w:r>
              <w:rPr>
                <w:rFonts w:ascii="Microsoft YaHei" w:hAnsi="Microsoft YaHei" w:eastAsia="Microsoft YaHei"/>
                <w:sz w:val="18"/>
              </w:rPr>
              <w:t>本地脱敏后批量上报</w:t>
            </w:r>
          </w:p>
        </w:tc>
        <w:tc>
          <w:tcPr>
            <w:tcW w:type="dxa" w:w="2736"/>
            <w:vAlign w:val="center"/>
          </w:tcPr>
          <w:p>
            <w:pPr>
              <w:spacing w:after="40"/>
            </w:pPr>
            <w:r>
              <w:rPr>
                <w:rFonts w:ascii="Microsoft YaHei" w:hAnsi="Microsoft YaHei" w:eastAsia="Microsoft YaHei"/>
                <w:sz w:val="18"/>
              </w:rPr>
              <w:t>字段级脱敏和保留周期</w:t>
            </w:r>
          </w:p>
        </w:tc>
      </w:tr>
    </w:tbl>
    <w:p/>
    <w:p>
      <w:pPr>
        <w:pStyle w:val="Heading1"/>
      </w:pPr>
      <w:r>
        <w:rPr>
          <w:rFonts w:ascii="Microsoft YaHei" w:hAnsi="Microsoft YaHei" w:eastAsia="Microsoft YaHei"/>
          <w:b/>
          <w:color w:val="2E74B5"/>
          <w:sz w:val="32"/>
        </w:rPr>
        <w:t>15 部署、启动、运维与小规模架构评估</w:t>
      </w:r>
    </w:p>
    <w:p>
      <w:pPr>
        <w:spacing w:after="120" w:line="276" w:lineRule="auto"/>
        <w:ind w:firstLine="403"/>
      </w:pPr>
      <w:r>
        <w:rPr>
          <w:rFonts w:ascii="Microsoft YaHei" w:hAnsi="Microsoft YaHei" w:eastAsia="Microsoft YaHei"/>
          <w:sz w:val="21"/>
        </w:rPr>
        <w:t>当前本地项目已经可以整体启动。Docker Compose 启动 db、api、swagger、nginx、agent-runtime 和 code-server 后，后端入口、PostgREST、Agent health、code-server 和多个前端开发服务均能返回 200。主前端因 8080 端口被 Windows portproxy 占用，临时使用 8092；其他子应用在 8081 到 8091 区间运行。这说明系统主体可运行，但开发环境端口治理需要加强。</w:t>
      </w:r>
    </w:p>
    <w:p>
      <w:pPr>
        <w:spacing w:after="120" w:line="276" w:lineRule="auto"/>
        <w:ind w:firstLine="403"/>
      </w:pPr>
      <w:r>
        <w:rPr>
          <w:rFonts w:ascii="Microsoft YaHei" w:hAnsi="Microsoft YaHei" w:eastAsia="Microsoft YaHei"/>
          <w:sz w:val="21"/>
        </w:rPr>
        <w:t>对用户数量不超过 100 人的场景，当前架构总体是可接受的。PostgreSQL 单实例足以支撑小规模并发；PostgREST 减少后端代码和部署复杂度；Nginx 统一入口；Agent Runtime 独立服务可以隔离 AI 和文件处理；多前端工程虽然数量较多，但用户规模不大时不会带来运行压力，主要压力在工程管理而非性能。</w:t>
      </w:r>
    </w:p>
    <w:p>
      <w:pPr>
        <w:spacing w:after="120" w:line="276" w:lineRule="auto"/>
        <w:ind w:firstLine="403"/>
      </w:pPr>
      <w:r>
        <w:rPr>
          <w:rFonts w:ascii="Microsoft YaHei" w:hAnsi="Microsoft YaHei" w:eastAsia="Microsoft YaHei"/>
          <w:sz w:val="21"/>
        </w:rPr>
        <w:t>最需要关注的不是横向扩容，而是数据安全、备份恢复、部署一致性和运维可见性。一百人以内的企业系统也可能因为数据库损坏、备份不可用、SQL patch 未执行、采集端升级失败、端口冲突或乱码导致严重业务影响。因此运维优先级应是备份、恢复演练、日志、健康检查、版本记录和环境基线。</w:t>
      </w:r>
    </w:p>
    <w:p>
      <w:pPr>
        <w:spacing w:after="120" w:line="276" w:lineRule="auto"/>
        <w:ind w:firstLine="403"/>
      </w:pPr>
      <w:r>
        <w:rPr>
          <w:rFonts w:ascii="Microsoft YaHei" w:hAnsi="Microsoft YaHei" w:eastAsia="Microsoft YaHei"/>
          <w:sz w:val="21"/>
        </w:rPr>
        <w:t>生产部署建议仍然保持简单。可以先使用单台服务器或小型云主机部署 PostgreSQL、PostgREST、Nginx 和 Agent Runtime，配合定时备份和对象/文件存储。等企业数量或并发增长后，再考虑数据库主从、独立文件存储、Agent worker 拆分、消息队列和集中日志。过早引入 Kubernetes 或复杂微服务，对当前规模未必划算。</w:t>
      </w:r>
    </w:p>
    <w:p>
      <w:pPr>
        <w:spacing w:after="120" w:line="276" w:lineRule="auto"/>
        <w:ind w:firstLine="403"/>
      </w:pPr>
      <w:r>
        <w:rPr>
          <w:rFonts w:ascii="Microsoft YaHei" w:hAnsi="Microsoft YaHei" w:eastAsia="Microsoft YaHei"/>
          <w:sz w:val="21"/>
        </w:rPr>
        <w:t>本地开发环境建议形成一键启动脚本，自动检查 Docker Desktop、WSL、端口、env 文件、Node 版本、npm install、数据库容器状态、agent-runtime health 和前端端口可用性。此前 agent-runtime 构建遇到 Alpine apk TLS 问题时通过已有镜像启动，这类情况也应写入故障处理手册。</w:t>
      </w:r>
    </w:p>
    <w:p>
      <w:pPr>
        <w:spacing w:after="120" w:line="276" w:lineRule="auto"/>
        <w:ind w:firstLine="403"/>
      </w:pPr>
      <w:r>
        <w:rPr>
          <w:rFonts w:ascii="Microsoft YaHei" w:hAnsi="Microsoft YaHei" w:eastAsia="Microsoft YaHei"/>
          <w:sz w:val="21"/>
        </w:rPr>
        <w:t>采集端部署需要单独看待。Windows 桌面端涉及 .NET SDK/运行时、WebView2 Runtime、安装器、自动更新、DPAPI、AppData、托盘和开机自启。它不是 Docker 服务的一部分，应建立 Windows 端发布、安装、升级、卸载、日志回收和远程配置手册。对于工厂现场，桌面端可运维性往往比服务端高可用更直接影响体验。</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340"/>
        <w:gridCol w:w="2340"/>
        <w:gridCol w:w="2340"/>
        <w:gridCol w:w="2340"/>
      </w:tblGrid>
      <w:tr>
        <w:tc>
          <w:tcPr>
            <w:tcW w:type="dxa" w:w="1800"/>
            <w:shd w:fill="E8EEF5"/>
            <w:vAlign w:val="center"/>
          </w:tcPr>
          <w:p>
            <w:pPr>
              <w:jc w:val="center"/>
            </w:pPr>
            <w:r>
              <w:rPr>
                <w:rFonts w:ascii="Microsoft YaHei" w:hAnsi="Microsoft YaHei" w:eastAsia="Microsoft YaHei"/>
                <w:b/>
                <w:sz w:val="18"/>
              </w:rPr>
              <w:t>评估项</w:t>
            </w:r>
          </w:p>
        </w:tc>
        <w:tc>
          <w:tcPr>
            <w:tcW w:type="dxa" w:w="2520"/>
            <w:shd w:fill="E8EEF5"/>
            <w:vAlign w:val="center"/>
          </w:tcPr>
          <w:p>
            <w:pPr>
              <w:jc w:val="center"/>
            </w:pPr>
            <w:r>
              <w:rPr>
                <w:rFonts w:ascii="Microsoft YaHei" w:hAnsi="Microsoft YaHei" w:eastAsia="Microsoft YaHei"/>
                <w:b/>
                <w:sz w:val="18"/>
              </w:rPr>
              <w:t>当前状态</w:t>
            </w:r>
          </w:p>
        </w:tc>
        <w:tc>
          <w:tcPr>
            <w:tcW w:type="dxa" w:w="2520"/>
            <w:shd w:fill="E8EEF5"/>
            <w:vAlign w:val="center"/>
          </w:tcPr>
          <w:p>
            <w:pPr>
              <w:jc w:val="center"/>
            </w:pPr>
            <w:r>
              <w:rPr>
                <w:rFonts w:ascii="Microsoft YaHei" w:hAnsi="Microsoft YaHei" w:eastAsia="Microsoft YaHei"/>
                <w:b/>
                <w:sz w:val="18"/>
              </w:rPr>
              <w:t>100人以内判断</w:t>
            </w:r>
          </w:p>
        </w:tc>
        <w:tc>
          <w:tcPr>
            <w:tcW w:type="dxa" w:w="2520"/>
            <w:shd w:fill="E8EEF5"/>
            <w:vAlign w:val="center"/>
          </w:tcPr>
          <w:p>
            <w:pPr>
              <w:jc w:val="center"/>
            </w:pPr>
            <w:r>
              <w:rPr>
                <w:rFonts w:ascii="Microsoft YaHei" w:hAnsi="Microsoft YaHei" w:eastAsia="Microsoft YaHei"/>
                <w:b/>
                <w:sz w:val="18"/>
              </w:rPr>
              <w:t>建议优先级</w:t>
            </w:r>
          </w:p>
        </w:tc>
      </w:tr>
      <w:tr>
        <w:tc>
          <w:tcPr>
            <w:tcW w:type="dxa" w:w="1800"/>
            <w:vAlign w:val="center"/>
          </w:tcPr>
          <w:p>
            <w:pPr>
              <w:spacing w:after="40"/>
            </w:pPr>
            <w:r>
              <w:rPr>
                <w:rFonts w:ascii="Microsoft YaHei" w:hAnsi="Microsoft YaHei" w:eastAsia="Microsoft YaHei"/>
                <w:sz w:val="18"/>
              </w:rPr>
              <w:t>性能容量</w:t>
            </w:r>
          </w:p>
        </w:tc>
        <w:tc>
          <w:tcPr>
            <w:tcW w:type="dxa" w:w="2520"/>
            <w:vAlign w:val="center"/>
          </w:tcPr>
          <w:p>
            <w:pPr>
              <w:spacing w:after="40"/>
            </w:pPr>
            <w:r>
              <w:rPr>
                <w:rFonts w:ascii="Microsoft YaHei" w:hAnsi="Microsoft YaHei" w:eastAsia="Microsoft YaHei"/>
                <w:sz w:val="18"/>
              </w:rPr>
              <w:t>PostgreSQL + PostgREST + Node runtime</w:t>
            </w:r>
          </w:p>
        </w:tc>
        <w:tc>
          <w:tcPr>
            <w:tcW w:type="dxa" w:w="2520"/>
            <w:vAlign w:val="center"/>
          </w:tcPr>
          <w:p>
            <w:pPr>
              <w:spacing w:after="40"/>
            </w:pPr>
            <w:r>
              <w:rPr>
                <w:rFonts w:ascii="Microsoft YaHei" w:hAnsi="Microsoft YaHei" w:eastAsia="Microsoft YaHei"/>
                <w:sz w:val="18"/>
              </w:rPr>
              <w:t>足够支撑常规办公和轻量自动入单</w:t>
            </w:r>
          </w:p>
        </w:tc>
        <w:tc>
          <w:tcPr>
            <w:tcW w:type="dxa" w:w="2520"/>
            <w:vAlign w:val="center"/>
          </w:tcPr>
          <w:p>
            <w:pPr>
              <w:spacing w:after="40"/>
            </w:pPr>
            <w:r>
              <w:rPr>
                <w:rFonts w:ascii="Microsoft YaHei" w:hAnsi="Microsoft YaHei" w:eastAsia="Microsoft YaHei"/>
                <w:sz w:val="18"/>
              </w:rPr>
              <w:t>P2，先做慢查询和索引观察</w:t>
            </w:r>
          </w:p>
        </w:tc>
      </w:tr>
      <w:tr>
        <w:tc>
          <w:tcPr>
            <w:tcW w:type="dxa" w:w="1800"/>
            <w:vAlign w:val="center"/>
          </w:tcPr>
          <w:p>
            <w:pPr>
              <w:spacing w:after="40"/>
            </w:pPr>
            <w:r>
              <w:rPr>
                <w:rFonts w:ascii="Microsoft YaHei" w:hAnsi="Microsoft YaHei" w:eastAsia="Microsoft YaHei"/>
                <w:sz w:val="18"/>
              </w:rPr>
              <w:t>可用性</w:t>
            </w:r>
          </w:p>
        </w:tc>
        <w:tc>
          <w:tcPr>
            <w:tcW w:type="dxa" w:w="2520"/>
            <w:vAlign w:val="center"/>
          </w:tcPr>
          <w:p>
            <w:pPr>
              <w:spacing w:after="40"/>
            </w:pPr>
            <w:r>
              <w:rPr>
                <w:rFonts w:ascii="Microsoft YaHei" w:hAnsi="Microsoft YaHei" w:eastAsia="Microsoft YaHei"/>
                <w:sz w:val="18"/>
              </w:rPr>
              <w:t>Docker Compose 单机组合</w:t>
            </w:r>
          </w:p>
        </w:tc>
        <w:tc>
          <w:tcPr>
            <w:tcW w:type="dxa" w:w="2520"/>
            <w:vAlign w:val="center"/>
          </w:tcPr>
          <w:p>
            <w:pPr>
              <w:spacing w:after="40"/>
            </w:pPr>
            <w:r>
              <w:rPr>
                <w:rFonts w:ascii="Microsoft YaHei" w:hAnsi="Microsoft YaHei" w:eastAsia="Microsoft YaHei"/>
                <w:sz w:val="18"/>
              </w:rPr>
              <w:t>可演示和小规模试运行</w:t>
            </w:r>
          </w:p>
        </w:tc>
        <w:tc>
          <w:tcPr>
            <w:tcW w:type="dxa" w:w="2520"/>
            <w:vAlign w:val="center"/>
          </w:tcPr>
          <w:p>
            <w:pPr>
              <w:spacing w:after="40"/>
            </w:pPr>
            <w:r>
              <w:rPr>
                <w:rFonts w:ascii="Microsoft YaHei" w:hAnsi="Microsoft YaHei" w:eastAsia="Microsoft YaHei"/>
                <w:sz w:val="18"/>
              </w:rPr>
              <w:t>P1，补备份和恢复演练</w:t>
            </w:r>
          </w:p>
        </w:tc>
      </w:tr>
      <w:tr>
        <w:tc>
          <w:tcPr>
            <w:tcW w:type="dxa" w:w="1800"/>
            <w:vAlign w:val="center"/>
          </w:tcPr>
          <w:p>
            <w:pPr>
              <w:spacing w:after="40"/>
            </w:pPr>
            <w:r>
              <w:rPr>
                <w:rFonts w:ascii="Microsoft YaHei" w:hAnsi="Microsoft YaHei" w:eastAsia="Microsoft YaHei"/>
                <w:sz w:val="18"/>
              </w:rPr>
              <w:t>开发启动</w:t>
            </w:r>
          </w:p>
        </w:tc>
        <w:tc>
          <w:tcPr>
            <w:tcW w:type="dxa" w:w="2520"/>
            <w:vAlign w:val="center"/>
          </w:tcPr>
          <w:p>
            <w:pPr>
              <w:spacing w:after="40"/>
            </w:pPr>
            <w:r>
              <w:rPr>
                <w:rFonts w:ascii="Microsoft YaHei" w:hAnsi="Microsoft YaHei" w:eastAsia="Microsoft YaHei"/>
                <w:sz w:val="18"/>
              </w:rPr>
              <w:t>多服务可启动，但端口冲突曾出现</w:t>
            </w:r>
          </w:p>
        </w:tc>
        <w:tc>
          <w:tcPr>
            <w:tcW w:type="dxa" w:w="2520"/>
            <w:vAlign w:val="center"/>
          </w:tcPr>
          <w:p>
            <w:pPr>
              <w:spacing w:after="40"/>
            </w:pPr>
            <w:r>
              <w:rPr>
                <w:rFonts w:ascii="Microsoft YaHei" w:hAnsi="Microsoft YaHei" w:eastAsia="Microsoft YaHei"/>
                <w:sz w:val="18"/>
              </w:rPr>
              <w:t>可用但新人门槛偏高</w:t>
            </w:r>
          </w:p>
        </w:tc>
        <w:tc>
          <w:tcPr>
            <w:tcW w:type="dxa" w:w="2520"/>
            <w:vAlign w:val="center"/>
          </w:tcPr>
          <w:p>
            <w:pPr>
              <w:spacing w:after="40"/>
            </w:pPr>
            <w:r>
              <w:rPr>
                <w:rFonts w:ascii="Microsoft YaHei" w:hAnsi="Microsoft YaHei" w:eastAsia="Microsoft YaHei"/>
                <w:sz w:val="18"/>
              </w:rPr>
              <w:t>P1，做启动脚本和端口检测</w:t>
            </w:r>
          </w:p>
        </w:tc>
      </w:tr>
      <w:tr>
        <w:tc>
          <w:tcPr>
            <w:tcW w:type="dxa" w:w="1800"/>
            <w:vAlign w:val="center"/>
          </w:tcPr>
          <w:p>
            <w:pPr>
              <w:spacing w:after="40"/>
            </w:pPr>
            <w:r>
              <w:rPr>
                <w:rFonts w:ascii="Microsoft YaHei" w:hAnsi="Microsoft YaHei" w:eastAsia="Microsoft YaHei"/>
                <w:sz w:val="18"/>
              </w:rPr>
              <w:t>Agent Runtime</w:t>
            </w:r>
          </w:p>
        </w:tc>
        <w:tc>
          <w:tcPr>
            <w:tcW w:type="dxa" w:w="2520"/>
            <w:vAlign w:val="center"/>
          </w:tcPr>
          <w:p>
            <w:pPr>
              <w:spacing w:after="40"/>
            </w:pPr>
            <w:r>
              <w:rPr>
                <w:rFonts w:ascii="Microsoft YaHei" w:hAnsi="Microsoft YaHei" w:eastAsia="Microsoft YaHei"/>
                <w:sz w:val="18"/>
              </w:rPr>
              <w:t>单服务承载多职责</w:t>
            </w:r>
          </w:p>
        </w:tc>
        <w:tc>
          <w:tcPr>
            <w:tcW w:type="dxa" w:w="2520"/>
            <w:vAlign w:val="center"/>
          </w:tcPr>
          <w:p>
            <w:pPr>
              <w:spacing w:after="40"/>
            </w:pPr>
            <w:r>
              <w:rPr>
                <w:rFonts w:ascii="Microsoft YaHei" w:hAnsi="Microsoft YaHei" w:eastAsia="Microsoft YaHei"/>
                <w:sz w:val="18"/>
              </w:rPr>
              <w:t>当前可接受</w:t>
            </w:r>
          </w:p>
        </w:tc>
        <w:tc>
          <w:tcPr>
            <w:tcW w:type="dxa" w:w="2520"/>
            <w:vAlign w:val="center"/>
          </w:tcPr>
          <w:p>
            <w:pPr>
              <w:spacing w:after="40"/>
            </w:pPr>
            <w:r>
              <w:rPr>
                <w:rFonts w:ascii="Microsoft YaHei" w:hAnsi="Microsoft YaHei" w:eastAsia="Microsoft YaHei"/>
                <w:sz w:val="18"/>
              </w:rPr>
              <w:t>P2，模块化拆分并限制工具权限</w:t>
            </w:r>
          </w:p>
        </w:tc>
      </w:tr>
      <w:tr>
        <w:tc>
          <w:tcPr>
            <w:tcW w:type="dxa" w:w="1800"/>
            <w:vAlign w:val="center"/>
          </w:tcPr>
          <w:p>
            <w:pPr>
              <w:spacing w:after="40"/>
            </w:pPr>
            <w:r>
              <w:rPr>
                <w:rFonts w:ascii="Microsoft YaHei" w:hAnsi="Microsoft YaHei" w:eastAsia="Microsoft YaHei"/>
                <w:sz w:val="18"/>
              </w:rPr>
              <w:t>数据库迁移</w:t>
            </w:r>
          </w:p>
        </w:tc>
        <w:tc>
          <w:tcPr>
            <w:tcW w:type="dxa" w:w="2520"/>
            <w:vAlign w:val="center"/>
          </w:tcPr>
          <w:p>
            <w:pPr>
              <w:spacing w:after="40"/>
            </w:pPr>
            <w:r>
              <w:rPr>
                <w:rFonts w:ascii="Microsoft YaHei" w:hAnsi="Microsoft YaHei" w:eastAsia="Microsoft YaHei"/>
                <w:sz w:val="18"/>
              </w:rPr>
              <w:t>大量 SQL patch</w:t>
            </w:r>
          </w:p>
        </w:tc>
        <w:tc>
          <w:tcPr>
            <w:tcW w:type="dxa" w:w="2520"/>
            <w:vAlign w:val="center"/>
          </w:tcPr>
          <w:p>
            <w:pPr>
              <w:spacing w:after="40"/>
            </w:pPr>
            <w:r>
              <w:rPr>
                <w:rFonts w:ascii="Microsoft YaHei" w:hAnsi="Microsoft YaHei" w:eastAsia="Microsoft YaHei"/>
                <w:sz w:val="18"/>
              </w:rPr>
              <w:t>迭代灵活但环境差异风险高</w:t>
            </w:r>
          </w:p>
        </w:tc>
        <w:tc>
          <w:tcPr>
            <w:tcW w:type="dxa" w:w="2520"/>
            <w:vAlign w:val="center"/>
          </w:tcPr>
          <w:p>
            <w:pPr>
              <w:spacing w:after="40"/>
            </w:pPr>
            <w:r>
              <w:rPr>
                <w:rFonts w:ascii="Microsoft YaHei" w:hAnsi="Microsoft YaHei" w:eastAsia="Microsoft YaHei"/>
                <w:sz w:val="18"/>
              </w:rPr>
              <w:t>P1，建立迁移记录和执行标准</w:t>
            </w:r>
          </w:p>
        </w:tc>
      </w:tr>
      <w:tr>
        <w:tc>
          <w:tcPr>
            <w:tcW w:type="dxa" w:w="1800"/>
            <w:vAlign w:val="center"/>
          </w:tcPr>
          <w:p>
            <w:pPr>
              <w:spacing w:after="40"/>
            </w:pPr>
            <w:r>
              <w:rPr>
                <w:rFonts w:ascii="Microsoft YaHei" w:hAnsi="Microsoft YaHei" w:eastAsia="Microsoft YaHei"/>
                <w:sz w:val="18"/>
              </w:rPr>
              <w:t>采集端</w:t>
            </w:r>
          </w:p>
        </w:tc>
        <w:tc>
          <w:tcPr>
            <w:tcW w:type="dxa" w:w="2520"/>
            <w:vAlign w:val="center"/>
          </w:tcPr>
          <w:p>
            <w:pPr>
              <w:spacing w:after="40"/>
            </w:pPr>
            <w:r>
              <w:rPr>
                <w:rFonts w:ascii="Microsoft YaHei" w:hAnsi="Microsoft YaHei" w:eastAsia="Microsoft YaHei"/>
                <w:sz w:val="18"/>
              </w:rPr>
              <w:t>已具备 MVP 和发布脚本</w:t>
            </w:r>
          </w:p>
        </w:tc>
        <w:tc>
          <w:tcPr>
            <w:tcW w:type="dxa" w:w="2520"/>
            <w:vAlign w:val="center"/>
          </w:tcPr>
          <w:p>
            <w:pPr>
              <w:spacing w:after="40"/>
            </w:pPr>
            <w:r>
              <w:rPr>
                <w:rFonts w:ascii="Microsoft YaHei" w:hAnsi="Microsoft YaHei" w:eastAsia="Microsoft YaHei"/>
                <w:sz w:val="18"/>
              </w:rPr>
              <w:t>非常适合现场试点</w:t>
            </w:r>
          </w:p>
        </w:tc>
        <w:tc>
          <w:tcPr>
            <w:tcW w:type="dxa" w:w="2520"/>
            <w:vAlign w:val="center"/>
          </w:tcPr>
          <w:p>
            <w:pPr>
              <w:spacing w:after="40"/>
            </w:pPr>
            <w:r>
              <w:rPr>
                <w:rFonts w:ascii="Microsoft YaHei" w:hAnsi="Microsoft YaHei" w:eastAsia="Microsoft YaHei"/>
                <w:sz w:val="18"/>
              </w:rPr>
              <w:t>P1，做设备管理和远程禁用</w:t>
            </w:r>
          </w:p>
        </w:tc>
      </w:tr>
    </w:tbl>
    <w:p/>
    <w:p>
      <w:pPr>
        <w:pStyle w:val="Heading1"/>
      </w:pPr>
      <w:r>
        <w:rPr>
          <w:rFonts w:ascii="Microsoft YaHei" w:hAnsi="Microsoft YaHei" w:eastAsia="Microsoft YaHei"/>
          <w:b/>
          <w:color w:val="2E74B5"/>
          <w:sz w:val="32"/>
        </w:rPr>
        <w:t>16 测试体系、工程质量与验收基础</w:t>
      </w:r>
    </w:p>
    <w:p>
      <w:pPr>
        <w:spacing w:after="120" w:line="276" w:lineRule="auto"/>
        <w:ind w:firstLine="403"/>
      </w:pPr>
      <w:r>
        <w:rPr>
          <w:rFonts w:ascii="Microsoft YaHei" w:hAnsi="Microsoft YaHei" w:eastAsia="Microsoft YaHei"/>
          <w:sz w:val="21"/>
        </w:rPr>
        <w:t>EISCore 当前的测试体系已经比一般早期项目更完整。根 package.json 中包含 test:syntax、test:unit、test:smart-bi、test:grid-agent、test:grid-utils、test:http-client、test:document-intake、test:document-parser、test:document-planner、test:document-entry、test:document-fixed-entry、test:smoke、test:business-chain 和多类 Playwright E2E 脚本。这说明系统已经有工程门禁意识。</w:t>
      </w:r>
    </w:p>
    <w:p>
      <w:pPr>
        <w:spacing w:after="120" w:line="276" w:lineRule="auto"/>
        <w:ind w:firstLine="403"/>
      </w:pPr>
      <w:r>
        <w:rPr>
          <w:rFonts w:ascii="Microsoft YaHei" w:hAnsi="Microsoft YaHei" w:eastAsia="Microsoft YaHei"/>
          <w:sz w:val="21"/>
        </w:rPr>
        <w:t>工程测试报告显示，语法门禁、离线单元回归、Smart BI、Grid Agent、HTTP 客户端、文档采集链路、远端业务闭环、UI 点击、67 功能点和完整 77 浏览器长跑都曾通过。报告还记录了远端 DNS/连接偶发中断、WSL 偶发 E_UNEXPECTED、静态资源旧 hash 和桌面采集器自动升级待端到端验证等风险。这样的记录方式有价值，因为它把“测试通过”和“剩余风险”分开描述。</w:t>
      </w:r>
    </w:p>
    <w:p>
      <w:pPr>
        <w:spacing w:after="120" w:line="276" w:lineRule="auto"/>
        <w:ind w:firstLine="403"/>
      </w:pPr>
      <w:r>
        <w:rPr>
          <w:rFonts w:ascii="Microsoft YaHei" w:hAnsi="Microsoft YaHei" w:eastAsia="Microsoft YaHei"/>
          <w:sz w:val="21"/>
        </w:rPr>
        <w:t>测试体系覆盖的重点与当前架构吻合。PostgREST 和数据库 RPC 需要业务链路测试；微前端需要构建和浏览器点击测试；Agent 能力需要离线 mock 和受控 payload 测试；AI 文档采集需要从 handler 到 worker 的链路回归；桌面端需要构建、发布脚本和安装器验证。不同层次的测试不能互相替代。</w:t>
      </w:r>
    </w:p>
    <w:p>
      <w:pPr>
        <w:spacing w:after="120" w:line="276" w:lineRule="auto"/>
        <w:ind w:firstLine="403"/>
      </w:pPr>
      <w:r>
        <w:rPr>
          <w:rFonts w:ascii="Microsoft YaHei" w:hAnsi="Microsoft YaHei" w:eastAsia="Microsoft YaHei"/>
          <w:sz w:val="21"/>
        </w:rPr>
        <w:t>后续建议将测试门禁分成开发必跑、提交前必跑、发布前必跑和远端巡检四级。开发必跑可以是语法和受影响单元；提交前必跑包含 test:unit 和相关前端 build；发布前必跑包含 smoke、business-chain、关键 E2E 和数据库 patch dry-run；远端巡检包含登录、菜单、核心业务闭环、智能收单后台、Agent health 和采集端 manifest 下载。</w:t>
      </w:r>
    </w:p>
    <w:p>
      <w:pPr>
        <w:spacing w:after="120" w:line="276" w:lineRule="auto"/>
        <w:ind w:firstLine="403"/>
      </w:pPr>
      <w:r>
        <w:rPr>
          <w:rFonts w:ascii="Microsoft YaHei" w:hAnsi="Microsoft YaHei" w:eastAsia="Microsoft YaHei"/>
          <w:sz w:val="21"/>
        </w:rPr>
        <w:t>AI 自动入单的验收不能只看识别准确率。更合理的验收指标包括：资料是否成功采集、重复文件是否跳过、解析失败是否有兜底、分类结果是否保存理由、入库计划是否包含字段快照、业务单据是否可修改、未匹配字段是否写入备注、低置信度是否可复核、修正记录是否保存、统计是否可选择纳入 AI 未审核数据。</w:t>
      </w:r>
    </w:p>
    <w:p>
      <w:pPr>
        <w:spacing w:after="120" w:line="276" w:lineRule="auto"/>
        <w:ind w:firstLine="403"/>
      </w:pPr>
      <w:r>
        <w:rPr>
          <w:rFonts w:ascii="Microsoft YaHei" w:hAnsi="Microsoft YaHei" w:eastAsia="Microsoft YaHei"/>
          <w:sz w:val="21"/>
        </w:rPr>
        <w:t>对于一百人以内的企业系统，质量保障的重点是避免核心业务被改坏。每次修改库存、工作流、权限、动态应用、Agent 工具或文档入库 worker，都应至少跑对应回归。视觉样式和页面体验也重要，但业务数据一致性、权限安全和可追溯性优先级更高。</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340"/>
        <w:gridCol w:w="2340"/>
        <w:gridCol w:w="2340"/>
        <w:gridCol w:w="2340"/>
      </w:tblGrid>
      <w:tr>
        <w:tc>
          <w:tcPr>
            <w:tcW w:type="dxa" w:w="1800"/>
            <w:shd w:fill="E8EEF5"/>
            <w:vAlign w:val="center"/>
          </w:tcPr>
          <w:p>
            <w:pPr>
              <w:jc w:val="center"/>
            </w:pPr>
            <w:r>
              <w:rPr>
                <w:rFonts w:ascii="Microsoft YaHei" w:hAnsi="Microsoft YaHei" w:eastAsia="Microsoft YaHei"/>
                <w:b/>
                <w:sz w:val="18"/>
              </w:rPr>
              <w:t>测试类型</w:t>
            </w:r>
          </w:p>
        </w:tc>
        <w:tc>
          <w:tcPr>
            <w:tcW w:type="dxa" w:w="2520"/>
            <w:shd w:fill="E8EEF5"/>
            <w:vAlign w:val="center"/>
          </w:tcPr>
          <w:p>
            <w:pPr>
              <w:jc w:val="center"/>
            </w:pPr>
            <w:r>
              <w:rPr>
                <w:rFonts w:ascii="Microsoft YaHei" w:hAnsi="Microsoft YaHei" w:eastAsia="Microsoft YaHei"/>
                <w:b/>
                <w:sz w:val="18"/>
              </w:rPr>
              <w:t>代表脚本</w:t>
            </w:r>
          </w:p>
        </w:tc>
        <w:tc>
          <w:tcPr>
            <w:tcW w:type="dxa" w:w="2520"/>
            <w:shd w:fill="E8EEF5"/>
            <w:vAlign w:val="center"/>
          </w:tcPr>
          <w:p>
            <w:pPr>
              <w:jc w:val="center"/>
            </w:pPr>
            <w:r>
              <w:rPr>
                <w:rFonts w:ascii="Microsoft YaHei" w:hAnsi="Microsoft YaHei" w:eastAsia="Microsoft YaHei"/>
                <w:b/>
                <w:sz w:val="18"/>
              </w:rPr>
              <w:t>覆盖内容</w:t>
            </w:r>
          </w:p>
        </w:tc>
        <w:tc>
          <w:tcPr>
            <w:tcW w:type="dxa" w:w="2520"/>
            <w:shd w:fill="E8EEF5"/>
            <w:vAlign w:val="center"/>
          </w:tcPr>
          <w:p>
            <w:pPr>
              <w:jc w:val="center"/>
            </w:pPr>
            <w:r>
              <w:rPr>
                <w:rFonts w:ascii="Microsoft YaHei" w:hAnsi="Microsoft YaHei" w:eastAsia="Microsoft YaHei"/>
                <w:b/>
                <w:sz w:val="18"/>
              </w:rPr>
              <w:t>建议门禁</w:t>
            </w:r>
          </w:p>
        </w:tc>
      </w:tr>
      <w:tr>
        <w:tc>
          <w:tcPr>
            <w:tcW w:type="dxa" w:w="1800"/>
            <w:vAlign w:val="center"/>
          </w:tcPr>
          <w:p>
            <w:pPr>
              <w:spacing w:after="40"/>
            </w:pPr>
            <w:r>
              <w:rPr>
                <w:rFonts w:ascii="Microsoft YaHei" w:hAnsi="Microsoft YaHei" w:eastAsia="Microsoft YaHei"/>
                <w:sz w:val="18"/>
              </w:rPr>
              <w:t>语法门禁</w:t>
            </w:r>
          </w:p>
        </w:tc>
        <w:tc>
          <w:tcPr>
            <w:tcW w:type="dxa" w:w="2520"/>
            <w:vAlign w:val="center"/>
          </w:tcPr>
          <w:p>
            <w:pPr>
              <w:spacing w:after="40"/>
            </w:pPr>
            <w:r>
              <w:rPr>
                <w:rFonts w:ascii="Microsoft YaHei" w:hAnsi="Microsoft YaHei" w:eastAsia="Microsoft YaHei"/>
                <w:sz w:val="18"/>
              </w:rPr>
              <w:t>npm run test:syntax</w:t>
            </w:r>
          </w:p>
        </w:tc>
        <w:tc>
          <w:tcPr>
            <w:tcW w:type="dxa" w:w="2520"/>
            <w:vAlign w:val="center"/>
          </w:tcPr>
          <w:p>
            <w:pPr>
              <w:spacing w:after="40"/>
            </w:pPr>
            <w:r>
              <w:rPr>
                <w:rFonts w:ascii="Microsoft YaHei" w:hAnsi="Microsoft YaHei" w:eastAsia="Microsoft YaHei"/>
                <w:sz w:val="18"/>
              </w:rPr>
              <w:t>Node 脚本、realtime、工程测试入口语法</w:t>
            </w:r>
          </w:p>
        </w:tc>
        <w:tc>
          <w:tcPr>
            <w:tcW w:type="dxa" w:w="2520"/>
            <w:vAlign w:val="center"/>
          </w:tcPr>
          <w:p>
            <w:pPr>
              <w:spacing w:after="40"/>
            </w:pPr>
            <w:r>
              <w:rPr>
                <w:rFonts w:ascii="Microsoft YaHei" w:hAnsi="Microsoft YaHei" w:eastAsia="Microsoft YaHei"/>
                <w:sz w:val="18"/>
              </w:rPr>
              <w:t>每次提交前</w:t>
            </w:r>
          </w:p>
        </w:tc>
      </w:tr>
      <w:tr>
        <w:tc>
          <w:tcPr>
            <w:tcW w:type="dxa" w:w="1800"/>
            <w:vAlign w:val="center"/>
          </w:tcPr>
          <w:p>
            <w:pPr>
              <w:spacing w:after="40"/>
            </w:pPr>
            <w:r>
              <w:rPr>
                <w:rFonts w:ascii="Microsoft YaHei" w:hAnsi="Microsoft YaHei" w:eastAsia="Microsoft YaHei"/>
                <w:sz w:val="18"/>
              </w:rPr>
              <w:t>离线单元</w:t>
            </w:r>
          </w:p>
        </w:tc>
        <w:tc>
          <w:tcPr>
            <w:tcW w:type="dxa" w:w="2520"/>
            <w:vAlign w:val="center"/>
          </w:tcPr>
          <w:p>
            <w:pPr>
              <w:spacing w:after="40"/>
            </w:pPr>
            <w:r>
              <w:rPr>
                <w:rFonts w:ascii="Microsoft YaHei" w:hAnsi="Microsoft YaHei" w:eastAsia="Microsoft YaHei"/>
                <w:sz w:val="18"/>
              </w:rPr>
              <w:t>npm run test:unit</w:t>
            </w:r>
          </w:p>
        </w:tc>
        <w:tc>
          <w:tcPr>
            <w:tcW w:type="dxa" w:w="2520"/>
            <w:vAlign w:val="center"/>
          </w:tcPr>
          <w:p>
            <w:pPr>
              <w:spacing w:after="40"/>
            </w:pPr>
            <w:r>
              <w:rPr>
                <w:rFonts w:ascii="Microsoft YaHei" w:hAnsi="Microsoft YaHei" w:eastAsia="Microsoft YaHei"/>
                <w:sz w:val="18"/>
              </w:rPr>
              <w:t>Smart BI、Grid、HTTP、文档采集/解析/计划/入库</w:t>
            </w:r>
          </w:p>
        </w:tc>
        <w:tc>
          <w:tcPr>
            <w:tcW w:type="dxa" w:w="2520"/>
            <w:vAlign w:val="center"/>
          </w:tcPr>
          <w:p>
            <w:pPr>
              <w:spacing w:after="40"/>
            </w:pPr>
            <w:r>
              <w:rPr>
                <w:rFonts w:ascii="Microsoft YaHei" w:hAnsi="Microsoft YaHei" w:eastAsia="Microsoft YaHei"/>
                <w:sz w:val="18"/>
              </w:rPr>
              <w:t>每次影响核心逻辑时</w:t>
            </w:r>
          </w:p>
        </w:tc>
      </w:tr>
      <w:tr>
        <w:tc>
          <w:tcPr>
            <w:tcW w:type="dxa" w:w="1800"/>
            <w:vAlign w:val="center"/>
          </w:tcPr>
          <w:p>
            <w:pPr>
              <w:spacing w:after="40"/>
            </w:pPr>
            <w:r>
              <w:rPr>
                <w:rFonts w:ascii="Microsoft YaHei" w:hAnsi="Microsoft YaHei" w:eastAsia="Microsoft YaHei"/>
                <w:sz w:val="18"/>
              </w:rPr>
              <w:t>前端构建</w:t>
            </w:r>
          </w:p>
        </w:tc>
        <w:tc>
          <w:tcPr>
            <w:tcW w:type="dxa" w:w="2520"/>
            <w:vAlign w:val="center"/>
          </w:tcPr>
          <w:p>
            <w:pPr>
              <w:spacing w:after="40"/>
            </w:pPr>
            <w:r>
              <w:rPr>
                <w:rFonts w:ascii="Microsoft YaHei" w:hAnsi="Microsoft YaHei" w:eastAsia="Microsoft YaHei"/>
                <w:sz w:val="18"/>
              </w:rPr>
              <w:t>npm run build:frontends</w:t>
            </w:r>
          </w:p>
        </w:tc>
        <w:tc>
          <w:tcPr>
            <w:tcW w:type="dxa" w:w="2520"/>
            <w:vAlign w:val="center"/>
          </w:tcPr>
          <w:p>
            <w:pPr>
              <w:spacing w:after="40"/>
            </w:pPr>
            <w:r>
              <w:rPr>
                <w:rFonts w:ascii="Microsoft YaHei" w:hAnsi="Microsoft YaHei" w:eastAsia="Microsoft YaHei"/>
                <w:sz w:val="18"/>
              </w:rPr>
              <w:t>11 个前端工程构建</w:t>
            </w:r>
          </w:p>
        </w:tc>
        <w:tc>
          <w:tcPr>
            <w:tcW w:type="dxa" w:w="2520"/>
            <w:vAlign w:val="center"/>
          </w:tcPr>
          <w:p>
            <w:pPr>
              <w:spacing w:after="40"/>
            </w:pPr>
            <w:r>
              <w:rPr>
                <w:rFonts w:ascii="Microsoft YaHei" w:hAnsi="Microsoft YaHei" w:eastAsia="Microsoft YaHei"/>
                <w:sz w:val="18"/>
              </w:rPr>
              <w:t>发布前</w:t>
            </w:r>
          </w:p>
        </w:tc>
      </w:tr>
      <w:tr>
        <w:tc>
          <w:tcPr>
            <w:tcW w:type="dxa" w:w="1800"/>
            <w:vAlign w:val="center"/>
          </w:tcPr>
          <w:p>
            <w:pPr>
              <w:spacing w:after="40"/>
            </w:pPr>
            <w:r>
              <w:rPr>
                <w:rFonts w:ascii="Microsoft YaHei" w:hAnsi="Microsoft YaHei" w:eastAsia="Microsoft YaHei"/>
                <w:sz w:val="18"/>
              </w:rPr>
              <w:t>业务 smoke</w:t>
            </w:r>
          </w:p>
        </w:tc>
        <w:tc>
          <w:tcPr>
            <w:tcW w:type="dxa" w:w="2520"/>
            <w:vAlign w:val="center"/>
          </w:tcPr>
          <w:p>
            <w:pPr>
              <w:spacing w:after="40"/>
            </w:pPr>
            <w:r>
              <w:rPr>
                <w:rFonts w:ascii="Microsoft YaHei" w:hAnsi="Microsoft YaHei" w:eastAsia="Microsoft YaHei"/>
                <w:sz w:val="18"/>
              </w:rPr>
              <w:t>npm run test:smoke</w:t>
            </w:r>
          </w:p>
        </w:tc>
        <w:tc>
          <w:tcPr>
            <w:tcW w:type="dxa" w:w="2520"/>
            <w:vAlign w:val="center"/>
          </w:tcPr>
          <w:p>
            <w:pPr>
              <w:spacing w:after="40"/>
            </w:pPr>
            <w:r>
              <w:rPr>
                <w:rFonts w:ascii="Microsoft YaHei" w:hAnsi="Microsoft YaHei" w:eastAsia="Microsoft YaHei"/>
                <w:sz w:val="18"/>
              </w:rPr>
              <w:t>登录、基础接口、核心页面</w:t>
            </w:r>
          </w:p>
        </w:tc>
        <w:tc>
          <w:tcPr>
            <w:tcW w:type="dxa" w:w="2520"/>
            <w:vAlign w:val="center"/>
          </w:tcPr>
          <w:p>
            <w:pPr>
              <w:spacing w:after="40"/>
            </w:pPr>
            <w:r>
              <w:rPr>
                <w:rFonts w:ascii="Microsoft YaHei" w:hAnsi="Microsoft YaHei" w:eastAsia="Microsoft YaHei"/>
                <w:sz w:val="18"/>
              </w:rPr>
              <w:t>本地和远端发布后</w:t>
            </w:r>
          </w:p>
        </w:tc>
      </w:tr>
      <w:tr>
        <w:tc>
          <w:tcPr>
            <w:tcW w:type="dxa" w:w="1800"/>
            <w:vAlign w:val="center"/>
          </w:tcPr>
          <w:p>
            <w:pPr>
              <w:spacing w:after="40"/>
            </w:pPr>
            <w:r>
              <w:rPr>
                <w:rFonts w:ascii="Microsoft YaHei" w:hAnsi="Microsoft YaHei" w:eastAsia="Microsoft YaHei"/>
                <w:sz w:val="18"/>
              </w:rPr>
              <w:t>业务闭环</w:t>
            </w:r>
          </w:p>
        </w:tc>
        <w:tc>
          <w:tcPr>
            <w:tcW w:type="dxa" w:w="2520"/>
            <w:vAlign w:val="center"/>
          </w:tcPr>
          <w:p>
            <w:pPr>
              <w:spacing w:after="40"/>
            </w:pPr>
            <w:r>
              <w:rPr>
                <w:rFonts w:ascii="Microsoft YaHei" w:hAnsi="Microsoft YaHei" w:eastAsia="Microsoft YaHei"/>
                <w:sz w:val="18"/>
              </w:rPr>
              <w:t>npm run test:business-chain</w:t>
            </w:r>
          </w:p>
        </w:tc>
        <w:tc>
          <w:tcPr>
            <w:tcW w:type="dxa" w:w="2520"/>
            <w:vAlign w:val="center"/>
          </w:tcPr>
          <w:p>
            <w:pPr>
              <w:spacing w:after="40"/>
            </w:pPr>
            <w:r>
              <w:rPr>
                <w:rFonts w:ascii="Microsoft YaHei" w:hAnsi="Microsoft YaHei" w:eastAsia="Microsoft YaHei"/>
                <w:sz w:val="18"/>
              </w:rPr>
              <w:t>跨模块主流程</w:t>
            </w:r>
          </w:p>
        </w:tc>
        <w:tc>
          <w:tcPr>
            <w:tcW w:type="dxa" w:w="2520"/>
            <w:vAlign w:val="center"/>
          </w:tcPr>
          <w:p>
            <w:pPr>
              <w:spacing w:after="40"/>
            </w:pPr>
            <w:r>
              <w:rPr>
                <w:rFonts w:ascii="Microsoft YaHei" w:hAnsi="Microsoft YaHei" w:eastAsia="Microsoft YaHei"/>
                <w:sz w:val="18"/>
              </w:rPr>
              <w:t>发布前和重大改动后</w:t>
            </w:r>
          </w:p>
        </w:tc>
      </w:tr>
      <w:tr>
        <w:tc>
          <w:tcPr>
            <w:tcW w:type="dxa" w:w="1800"/>
            <w:vAlign w:val="center"/>
          </w:tcPr>
          <w:p>
            <w:pPr>
              <w:spacing w:after="40"/>
            </w:pPr>
            <w:r>
              <w:rPr>
                <w:rFonts w:ascii="Microsoft YaHei" w:hAnsi="Microsoft YaHei" w:eastAsia="Microsoft YaHei"/>
                <w:sz w:val="18"/>
              </w:rPr>
              <w:t>浏览器 E2E</w:t>
            </w:r>
          </w:p>
        </w:tc>
        <w:tc>
          <w:tcPr>
            <w:tcW w:type="dxa" w:w="2520"/>
            <w:vAlign w:val="center"/>
          </w:tcPr>
          <w:p>
            <w:pPr>
              <w:spacing w:after="40"/>
            </w:pPr>
            <w:r>
              <w:rPr>
                <w:rFonts w:ascii="Microsoft YaHei" w:hAnsi="Microsoft YaHei" w:eastAsia="Microsoft YaHei"/>
                <w:sz w:val="18"/>
              </w:rPr>
              <w:t>playwright test</w:t>
            </w:r>
          </w:p>
        </w:tc>
        <w:tc>
          <w:tcPr>
            <w:tcW w:type="dxa" w:w="2520"/>
            <w:vAlign w:val="center"/>
          </w:tcPr>
          <w:p>
            <w:pPr>
              <w:spacing w:after="40"/>
            </w:pPr>
            <w:r>
              <w:rPr>
                <w:rFonts w:ascii="Microsoft YaHei" w:hAnsi="Microsoft YaHei" w:eastAsia="Microsoft YaHei"/>
                <w:sz w:val="18"/>
              </w:rPr>
              <w:t>UI 点击、业务链和功能点</w:t>
            </w:r>
          </w:p>
        </w:tc>
        <w:tc>
          <w:tcPr>
            <w:tcW w:type="dxa" w:w="2520"/>
            <w:vAlign w:val="center"/>
          </w:tcPr>
          <w:p>
            <w:pPr>
              <w:spacing w:after="40"/>
            </w:pPr>
            <w:r>
              <w:rPr>
                <w:rFonts w:ascii="Microsoft YaHei" w:hAnsi="Microsoft YaHei" w:eastAsia="Microsoft YaHei"/>
                <w:sz w:val="18"/>
              </w:rPr>
              <w:t>发布候选版本</w:t>
            </w:r>
          </w:p>
        </w:tc>
      </w:tr>
      <w:tr>
        <w:tc>
          <w:tcPr>
            <w:tcW w:type="dxa" w:w="1800"/>
            <w:vAlign w:val="center"/>
          </w:tcPr>
          <w:p>
            <w:pPr>
              <w:spacing w:after="40"/>
            </w:pPr>
            <w:r>
              <w:rPr>
                <w:rFonts w:ascii="Microsoft YaHei" w:hAnsi="Microsoft YaHei" w:eastAsia="Microsoft YaHei"/>
                <w:sz w:val="18"/>
              </w:rPr>
              <w:t>采集端</w:t>
            </w:r>
          </w:p>
        </w:tc>
        <w:tc>
          <w:tcPr>
            <w:tcW w:type="dxa" w:w="2520"/>
            <w:vAlign w:val="center"/>
          </w:tcPr>
          <w:p>
            <w:pPr>
              <w:spacing w:after="40"/>
            </w:pPr>
            <w:r>
              <w:rPr>
                <w:rFonts w:ascii="Microsoft YaHei" w:hAnsi="Microsoft YaHei" w:eastAsia="Microsoft YaHei"/>
                <w:sz w:val="18"/>
              </w:rPr>
              <w:t>dotnet build / publish-collector.ps1</w:t>
            </w:r>
          </w:p>
        </w:tc>
        <w:tc>
          <w:tcPr>
            <w:tcW w:type="dxa" w:w="2520"/>
            <w:vAlign w:val="center"/>
          </w:tcPr>
          <w:p>
            <w:pPr>
              <w:spacing w:after="40"/>
            </w:pPr>
            <w:r>
              <w:rPr>
                <w:rFonts w:ascii="Microsoft YaHei" w:hAnsi="Microsoft YaHei" w:eastAsia="Microsoft YaHei"/>
                <w:sz w:val="18"/>
              </w:rPr>
              <w:t>桌面端构建、安装器、manifest</w:t>
            </w:r>
          </w:p>
        </w:tc>
        <w:tc>
          <w:tcPr>
            <w:tcW w:type="dxa" w:w="2520"/>
            <w:vAlign w:val="center"/>
          </w:tcPr>
          <w:p>
            <w:pPr>
              <w:spacing w:after="40"/>
            </w:pPr>
            <w:r>
              <w:rPr>
                <w:rFonts w:ascii="Microsoft YaHei" w:hAnsi="Microsoft YaHei" w:eastAsia="Microsoft YaHei"/>
                <w:sz w:val="18"/>
              </w:rPr>
              <w:t>采集端发布前</w:t>
            </w:r>
          </w:p>
        </w:tc>
      </w:tr>
    </w:tbl>
    <w:p/>
    <w:p>
      <w:pPr>
        <w:pStyle w:val="Heading1"/>
      </w:pPr>
      <w:r>
        <w:rPr>
          <w:rFonts w:ascii="Microsoft YaHei" w:hAnsi="Microsoft YaHei" w:eastAsia="Microsoft YaHei"/>
          <w:b/>
          <w:color w:val="2E74B5"/>
          <w:sz w:val="32"/>
        </w:rPr>
        <w:t>17 当前问题、乱码原因与治理建议</w:t>
      </w:r>
    </w:p>
    <w:p>
      <w:pPr>
        <w:spacing w:after="120" w:line="276" w:lineRule="auto"/>
        <w:ind w:firstLine="403"/>
      </w:pPr>
      <w:r>
        <w:rPr>
          <w:rFonts w:ascii="Microsoft YaHei" w:hAnsi="Microsoft YaHei" w:eastAsia="Microsoft YaHei"/>
          <w:sz w:val="21"/>
        </w:rPr>
        <w:t>当前系统中曾出现数据库信息显示为“？？？？？？？？”的乱码现象。这个现象通常不是前端字体问题，而是某个环节把中文字符转换成了问号后再写入数据库。一旦写成问号，原文就已经丢失，只能从备份、原 SQL 文件或重新录入恢复。项目中存在 patch_fix_ontology_semantic_qmarks_20260618.sql，说明语义相关数据已经专门做过修复。</w:t>
      </w:r>
    </w:p>
    <w:p>
      <w:pPr>
        <w:spacing w:after="120" w:line="276" w:lineRule="auto"/>
        <w:ind w:firstLine="403"/>
      </w:pPr>
      <w:r>
        <w:rPr>
          <w:rFonts w:ascii="Microsoft YaHei" w:hAnsi="Microsoft YaHei" w:eastAsia="Microsoft YaHei"/>
          <w:sz w:val="21"/>
        </w:rPr>
        <w:t>造成问号乱码的常见原因包括：SQL 文件本身不是 UTF-8；Windows PowerShell 或命令行以错误编码读取 SQL；psql 客户端编码不是 UTF8；数据库连接参数没有设置 client_encoding；导入工具把中文当成本地 ANSI 编码处理；或者从外部文档复制文本时经过了错误编码转换。由于 EISCore 有大量中文字段语义和业务配置，这类问题必须被视为数据质量问题，而不是普通显示问题。</w:t>
      </w:r>
    </w:p>
    <w:p>
      <w:pPr>
        <w:spacing w:after="120" w:line="276" w:lineRule="auto"/>
        <w:ind w:firstLine="403"/>
      </w:pPr>
      <w:r>
        <w:rPr>
          <w:rFonts w:ascii="Microsoft YaHei" w:hAnsi="Microsoft YaHei" w:eastAsia="Microsoft YaHei"/>
          <w:sz w:val="21"/>
        </w:rPr>
        <w:t>治理乱码应从三层入手。第一层是文件层，所有 SQL、Markdown、JSON 和配置模板统一 UTF-8，无 BOM 与有 BOM 的选择要固定，并在编辑器配置中明确。第二层是执行层，所有 SQL patch 通过固定脚本执行，显式设置 PGCLIENTENCODING=UTF8 或 psql client_encoding。第三层是验证层，patch 执行后自动抽样检查中文字段中是否存在连续问号、替换字符或异常乱码。</w:t>
      </w:r>
    </w:p>
    <w:p>
      <w:pPr>
        <w:spacing w:after="120" w:line="276" w:lineRule="auto"/>
        <w:ind w:firstLine="403"/>
      </w:pPr>
      <w:r>
        <w:rPr>
          <w:rFonts w:ascii="Microsoft YaHei" w:hAnsi="Microsoft YaHei" w:eastAsia="Microsoft YaHei"/>
          <w:sz w:val="21"/>
        </w:rPr>
        <w:t>当前还有一些工程问题需要治理。8080 端口被 Windows IP Helper portproxy 占用，导致主前端无法使用默认端口；agent-runtime 构建时曾遇到 Alpine apk TLS 问题，只能使用已有镜像；Node 20.18.1 曾低于 Vite 建议的 20.19+；realtime 服务职责过宽；多前端端口和构建产物发布需要登记；静态资源旧 hash 删除可能影响缓存窗口内的微前端动态加载。</w:t>
      </w:r>
    </w:p>
    <w:p>
      <w:pPr>
        <w:spacing w:after="120" w:line="276" w:lineRule="auto"/>
        <w:ind w:firstLine="403"/>
      </w:pPr>
      <w:r>
        <w:rPr>
          <w:rFonts w:ascii="Microsoft YaHei" w:hAnsi="Microsoft YaHei" w:eastAsia="Microsoft YaHei"/>
          <w:sz w:val="21"/>
        </w:rPr>
        <w:t>这些问题的共同特点是“不会每天阻断业务，但会在交付、升级、排错或新人接手时放大成本”。因此建议建立工程治理清单：环境基线、端口表、Docker 镜像构建策略、SQL patch 执行标准、前端发布保留旧 hash、Agent 工具权限清单、采集端版本清单、备份恢复流程和远端健康检查。</w:t>
      </w:r>
    </w:p>
    <w:p>
      <w:pPr>
        <w:spacing w:after="120" w:line="276" w:lineRule="auto"/>
        <w:ind w:firstLine="403"/>
      </w:pPr>
      <w:r>
        <w:rPr>
          <w:rFonts w:ascii="Microsoft YaHei" w:hAnsi="Microsoft YaHei" w:eastAsia="Microsoft YaHei"/>
          <w:sz w:val="21"/>
        </w:rPr>
        <w:t>架构师视角下，当前系统最大的风险不是用户量，而是系统边界越来越宽后缺少制度化治理。业务模块、动态应用、工作流、本体语义、Agent、智能收单和桌面端都在快速增长，如果没有统一的版本、权限、测试和日志标准，后续每新增一个能力都可能带来隐性耦合。好消息是项目已经有测试脚本和文档基础，治理不是从零开始。</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340"/>
        <w:gridCol w:w="2340"/>
        <w:gridCol w:w="2340"/>
        <w:gridCol w:w="2340"/>
      </w:tblGrid>
      <w:tr>
        <w:tc>
          <w:tcPr>
            <w:tcW w:type="dxa" w:w="1800"/>
            <w:shd w:fill="E8EEF5"/>
            <w:vAlign w:val="center"/>
          </w:tcPr>
          <w:p>
            <w:pPr>
              <w:jc w:val="center"/>
            </w:pPr>
            <w:r>
              <w:rPr>
                <w:rFonts w:ascii="Microsoft YaHei" w:hAnsi="Microsoft YaHei" w:eastAsia="Microsoft YaHei"/>
                <w:b/>
                <w:sz w:val="18"/>
              </w:rPr>
              <w:t>问题</w:t>
            </w:r>
          </w:p>
        </w:tc>
        <w:tc>
          <w:tcPr>
            <w:tcW w:type="dxa" w:w="2304"/>
            <w:shd w:fill="E8EEF5"/>
            <w:vAlign w:val="center"/>
          </w:tcPr>
          <w:p>
            <w:pPr>
              <w:jc w:val="center"/>
            </w:pPr>
            <w:r>
              <w:rPr>
                <w:rFonts w:ascii="Microsoft YaHei" w:hAnsi="Microsoft YaHei" w:eastAsia="Microsoft YaHei"/>
                <w:b/>
                <w:sz w:val="18"/>
              </w:rPr>
              <w:t>表现</w:t>
            </w:r>
          </w:p>
        </w:tc>
        <w:tc>
          <w:tcPr>
            <w:tcW w:type="dxa" w:w="2520"/>
            <w:shd w:fill="E8EEF5"/>
            <w:vAlign w:val="center"/>
          </w:tcPr>
          <w:p>
            <w:pPr>
              <w:jc w:val="center"/>
            </w:pPr>
            <w:r>
              <w:rPr>
                <w:rFonts w:ascii="Microsoft YaHei" w:hAnsi="Microsoft YaHei" w:eastAsia="Microsoft YaHei"/>
                <w:b/>
                <w:sz w:val="18"/>
              </w:rPr>
              <w:t>影响</w:t>
            </w:r>
          </w:p>
        </w:tc>
        <w:tc>
          <w:tcPr>
            <w:tcW w:type="dxa" w:w="2736"/>
            <w:shd w:fill="E8EEF5"/>
            <w:vAlign w:val="center"/>
          </w:tcPr>
          <w:p>
            <w:pPr>
              <w:jc w:val="center"/>
            </w:pPr>
            <w:r>
              <w:rPr>
                <w:rFonts w:ascii="Microsoft YaHei" w:hAnsi="Microsoft YaHei" w:eastAsia="Microsoft YaHei"/>
                <w:b/>
                <w:sz w:val="18"/>
              </w:rPr>
              <w:t>建议处理</w:t>
            </w:r>
          </w:p>
        </w:tc>
      </w:tr>
      <w:tr>
        <w:tc>
          <w:tcPr>
            <w:tcW w:type="dxa" w:w="1800"/>
            <w:vAlign w:val="center"/>
          </w:tcPr>
          <w:p>
            <w:pPr>
              <w:spacing w:after="40"/>
            </w:pPr>
            <w:r>
              <w:rPr>
                <w:rFonts w:ascii="Microsoft YaHei" w:hAnsi="Microsoft YaHei" w:eastAsia="Microsoft YaHei"/>
                <w:sz w:val="18"/>
              </w:rPr>
              <w:t>中文问号乱码</w:t>
            </w:r>
          </w:p>
        </w:tc>
        <w:tc>
          <w:tcPr>
            <w:tcW w:type="dxa" w:w="2304"/>
            <w:vAlign w:val="center"/>
          </w:tcPr>
          <w:p>
            <w:pPr>
              <w:spacing w:after="40"/>
            </w:pPr>
            <w:r>
              <w:rPr>
                <w:rFonts w:ascii="Microsoft YaHei" w:hAnsi="Microsoft YaHei" w:eastAsia="Microsoft YaHei"/>
                <w:sz w:val="18"/>
              </w:rPr>
              <w:t>数据库中文变成 ?????</w:t>
            </w:r>
          </w:p>
        </w:tc>
        <w:tc>
          <w:tcPr>
            <w:tcW w:type="dxa" w:w="2520"/>
            <w:vAlign w:val="center"/>
          </w:tcPr>
          <w:p>
            <w:pPr>
              <w:spacing w:after="40"/>
            </w:pPr>
            <w:r>
              <w:rPr>
                <w:rFonts w:ascii="Microsoft YaHei" w:hAnsi="Microsoft YaHei" w:eastAsia="Microsoft YaHei"/>
                <w:sz w:val="18"/>
              </w:rPr>
              <w:t>语义和业务配置丢失原文</w:t>
            </w:r>
          </w:p>
        </w:tc>
        <w:tc>
          <w:tcPr>
            <w:tcW w:type="dxa" w:w="2736"/>
            <w:vAlign w:val="center"/>
          </w:tcPr>
          <w:p>
            <w:pPr>
              <w:spacing w:after="40"/>
            </w:pPr>
            <w:r>
              <w:rPr>
                <w:rFonts w:ascii="Microsoft YaHei" w:hAnsi="Microsoft YaHei" w:eastAsia="Microsoft YaHei"/>
                <w:sz w:val="18"/>
              </w:rPr>
              <w:t>统一 UTF-8 执行标准，执行后自动扫描</w:t>
            </w:r>
          </w:p>
        </w:tc>
      </w:tr>
      <w:tr>
        <w:tc>
          <w:tcPr>
            <w:tcW w:type="dxa" w:w="1800"/>
            <w:vAlign w:val="center"/>
          </w:tcPr>
          <w:p>
            <w:pPr>
              <w:spacing w:after="40"/>
            </w:pPr>
            <w:r>
              <w:rPr>
                <w:rFonts w:ascii="Microsoft YaHei" w:hAnsi="Microsoft YaHei" w:eastAsia="Microsoft YaHei"/>
                <w:sz w:val="18"/>
              </w:rPr>
              <w:t>8080 端口占用</w:t>
            </w:r>
          </w:p>
        </w:tc>
        <w:tc>
          <w:tcPr>
            <w:tcW w:type="dxa" w:w="2304"/>
            <w:vAlign w:val="center"/>
          </w:tcPr>
          <w:p>
            <w:pPr>
              <w:spacing w:after="40"/>
            </w:pPr>
            <w:r>
              <w:rPr>
                <w:rFonts w:ascii="Microsoft YaHei" w:hAnsi="Microsoft YaHei" w:eastAsia="Microsoft YaHei"/>
                <w:sz w:val="18"/>
              </w:rPr>
              <w:t>主前端默认端口无法启动</w:t>
            </w:r>
          </w:p>
        </w:tc>
        <w:tc>
          <w:tcPr>
            <w:tcW w:type="dxa" w:w="2520"/>
            <w:vAlign w:val="center"/>
          </w:tcPr>
          <w:p>
            <w:pPr>
              <w:spacing w:after="40"/>
            </w:pPr>
            <w:r>
              <w:rPr>
                <w:rFonts w:ascii="Microsoft YaHei" w:hAnsi="Microsoft YaHei" w:eastAsia="Microsoft YaHei"/>
                <w:sz w:val="18"/>
              </w:rPr>
              <w:t>新人启动困难，文档不一致</w:t>
            </w:r>
          </w:p>
        </w:tc>
        <w:tc>
          <w:tcPr>
            <w:tcW w:type="dxa" w:w="2736"/>
            <w:vAlign w:val="center"/>
          </w:tcPr>
          <w:p>
            <w:pPr>
              <w:spacing w:after="40"/>
            </w:pPr>
            <w:r>
              <w:rPr>
                <w:rFonts w:ascii="Microsoft YaHei" w:hAnsi="Microsoft YaHei" w:eastAsia="Microsoft YaHei"/>
                <w:sz w:val="18"/>
              </w:rPr>
              <w:t>端口检测脚本和备用端口策略</w:t>
            </w:r>
          </w:p>
        </w:tc>
      </w:tr>
      <w:tr>
        <w:tc>
          <w:tcPr>
            <w:tcW w:type="dxa" w:w="1800"/>
            <w:vAlign w:val="center"/>
          </w:tcPr>
          <w:p>
            <w:pPr>
              <w:spacing w:after="40"/>
            </w:pPr>
            <w:r>
              <w:rPr>
                <w:rFonts w:ascii="Microsoft YaHei" w:hAnsi="Microsoft YaHei" w:eastAsia="Microsoft YaHei"/>
                <w:sz w:val="18"/>
              </w:rPr>
              <w:t>Agent 镜像构建问题</w:t>
            </w:r>
          </w:p>
        </w:tc>
        <w:tc>
          <w:tcPr>
            <w:tcW w:type="dxa" w:w="2304"/>
            <w:vAlign w:val="center"/>
          </w:tcPr>
          <w:p>
            <w:pPr>
              <w:spacing w:after="40"/>
            </w:pPr>
            <w:r>
              <w:rPr>
                <w:rFonts w:ascii="Microsoft YaHei" w:hAnsi="Microsoft YaHei" w:eastAsia="Microsoft YaHei"/>
                <w:sz w:val="18"/>
              </w:rPr>
              <w:t>Alpine apk TLS 导致构建失败</w:t>
            </w:r>
          </w:p>
        </w:tc>
        <w:tc>
          <w:tcPr>
            <w:tcW w:type="dxa" w:w="2520"/>
            <w:vAlign w:val="center"/>
          </w:tcPr>
          <w:p>
            <w:pPr>
              <w:spacing w:after="40"/>
            </w:pPr>
            <w:r>
              <w:rPr>
                <w:rFonts w:ascii="Microsoft YaHei" w:hAnsi="Microsoft YaHei" w:eastAsia="Microsoft YaHei"/>
                <w:sz w:val="18"/>
              </w:rPr>
              <w:t>依赖已有镜像，环境不可重复</w:t>
            </w:r>
          </w:p>
        </w:tc>
        <w:tc>
          <w:tcPr>
            <w:tcW w:type="dxa" w:w="2736"/>
            <w:vAlign w:val="center"/>
          </w:tcPr>
          <w:p>
            <w:pPr>
              <w:spacing w:after="40"/>
            </w:pPr>
            <w:r>
              <w:rPr>
                <w:rFonts w:ascii="Microsoft YaHei" w:hAnsi="Microsoft YaHei" w:eastAsia="Microsoft YaHei"/>
                <w:sz w:val="18"/>
              </w:rPr>
              <w:t>固定基础镜像、缓存依赖或改用稳定源</w:t>
            </w:r>
          </w:p>
        </w:tc>
      </w:tr>
      <w:tr>
        <w:tc>
          <w:tcPr>
            <w:tcW w:type="dxa" w:w="1800"/>
            <w:vAlign w:val="center"/>
          </w:tcPr>
          <w:p>
            <w:pPr>
              <w:spacing w:after="40"/>
            </w:pPr>
            <w:r>
              <w:rPr>
                <w:rFonts w:ascii="Microsoft YaHei" w:hAnsi="Microsoft YaHei" w:eastAsia="Microsoft YaHei"/>
                <w:sz w:val="18"/>
              </w:rPr>
              <w:t>Node 版本警告</w:t>
            </w:r>
          </w:p>
        </w:tc>
        <w:tc>
          <w:tcPr>
            <w:tcW w:type="dxa" w:w="2304"/>
            <w:vAlign w:val="center"/>
          </w:tcPr>
          <w:p>
            <w:pPr>
              <w:spacing w:after="40"/>
            </w:pPr>
            <w:r>
              <w:rPr>
                <w:rFonts w:ascii="Microsoft YaHei" w:hAnsi="Microsoft YaHei" w:eastAsia="Microsoft YaHei"/>
                <w:sz w:val="18"/>
              </w:rPr>
              <w:t>20.18.1 低于 Vite 建议</w:t>
            </w:r>
          </w:p>
        </w:tc>
        <w:tc>
          <w:tcPr>
            <w:tcW w:type="dxa" w:w="2520"/>
            <w:vAlign w:val="center"/>
          </w:tcPr>
          <w:p>
            <w:pPr>
              <w:spacing w:after="40"/>
            </w:pPr>
            <w:r>
              <w:rPr>
                <w:rFonts w:ascii="Microsoft YaHei" w:hAnsi="Microsoft YaHei" w:eastAsia="Microsoft YaHei"/>
                <w:sz w:val="18"/>
              </w:rPr>
              <w:t>未来构建差异</w:t>
            </w:r>
          </w:p>
        </w:tc>
        <w:tc>
          <w:tcPr>
            <w:tcW w:type="dxa" w:w="2736"/>
            <w:vAlign w:val="center"/>
          </w:tcPr>
          <w:p>
            <w:pPr>
              <w:spacing w:after="40"/>
            </w:pPr>
            <w:r>
              <w:rPr>
                <w:rFonts w:ascii="Microsoft YaHei" w:hAnsi="Microsoft YaHei" w:eastAsia="Microsoft YaHei"/>
                <w:sz w:val="18"/>
              </w:rPr>
              <w:t>按 engines 固定 20.19+ 或 22.12+</w:t>
            </w:r>
          </w:p>
        </w:tc>
      </w:tr>
      <w:tr>
        <w:tc>
          <w:tcPr>
            <w:tcW w:type="dxa" w:w="1800"/>
            <w:vAlign w:val="center"/>
          </w:tcPr>
          <w:p>
            <w:pPr>
              <w:spacing w:after="40"/>
            </w:pPr>
            <w:r>
              <w:rPr>
                <w:rFonts w:ascii="Microsoft YaHei" w:hAnsi="Microsoft YaHei" w:eastAsia="Microsoft YaHei"/>
                <w:sz w:val="18"/>
              </w:rPr>
              <w:t>realtime 职责过宽</w:t>
            </w:r>
          </w:p>
        </w:tc>
        <w:tc>
          <w:tcPr>
            <w:tcW w:type="dxa" w:w="2304"/>
            <w:vAlign w:val="center"/>
          </w:tcPr>
          <w:p>
            <w:pPr>
              <w:spacing w:after="40"/>
            </w:pPr>
            <w:r>
              <w:rPr>
                <w:rFonts w:ascii="Microsoft YaHei" w:hAnsi="Microsoft YaHei" w:eastAsia="Microsoft YaHei"/>
                <w:sz w:val="18"/>
              </w:rPr>
              <w:t>Agent、workflow、document、release 都在一起</w:t>
            </w:r>
          </w:p>
        </w:tc>
        <w:tc>
          <w:tcPr>
            <w:tcW w:type="dxa" w:w="2520"/>
            <w:vAlign w:val="center"/>
          </w:tcPr>
          <w:p>
            <w:pPr>
              <w:spacing w:after="40"/>
            </w:pPr>
            <w:r>
              <w:rPr>
                <w:rFonts w:ascii="Microsoft YaHei" w:hAnsi="Microsoft YaHei" w:eastAsia="Microsoft YaHei"/>
                <w:sz w:val="18"/>
              </w:rPr>
              <w:t>后续维护复杂</w:t>
            </w:r>
          </w:p>
        </w:tc>
        <w:tc>
          <w:tcPr>
            <w:tcW w:type="dxa" w:w="2736"/>
            <w:vAlign w:val="center"/>
          </w:tcPr>
          <w:p>
            <w:pPr>
              <w:spacing w:after="40"/>
            </w:pPr>
            <w:r>
              <w:rPr>
                <w:rFonts w:ascii="Microsoft YaHei" w:hAnsi="Microsoft YaHei" w:eastAsia="Microsoft YaHei"/>
                <w:sz w:val="18"/>
              </w:rPr>
              <w:t>先模块化目录，再按服务拆分</w:t>
            </w:r>
          </w:p>
        </w:tc>
      </w:tr>
      <w:tr>
        <w:tc>
          <w:tcPr>
            <w:tcW w:type="dxa" w:w="1800"/>
            <w:vAlign w:val="center"/>
          </w:tcPr>
          <w:p>
            <w:pPr>
              <w:spacing w:after="40"/>
            </w:pPr>
            <w:r>
              <w:rPr>
                <w:rFonts w:ascii="Microsoft YaHei" w:hAnsi="Microsoft YaHei" w:eastAsia="Microsoft YaHei"/>
                <w:sz w:val="18"/>
              </w:rPr>
              <w:t>SQL patch 较多</w:t>
            </w:r>
          </w:p>
        </w:tc>
        <w:tc>
          <w:tcPr>
            <w:tcW w:type="dxa" w:w="2304"/>
            <w:vAlign w:val="center"/>
          </w:tcPr>
          <w:p>
            <w:pPr>
              <w:spacing w:after="40"/>
            </w:pPr>
            <w:r>
              <w:rPr>
                <w:rFonts w:ascii="Microsoft YaHei" w:hAnsi="Microsoft YaHei" w:eastAsia="Microsoft YaHei"/>
                <w:sz w:val="18"/>
              </w:rPr>
              <w:t>环境是否执行完整难判断</w:t>
            </w:r>
          </w:p>
        </w:tc>
        <w:tc>
          <w:tcPr>
            <w:tcW w:type="dxa" w:w="2520"/>
            <w:vAlign w:val="center"/>
          </w:tcPr>
          <w:p>
            <w:pPr>
              <w:spacing w:after="40"/>
            </w:pPr>
            <w:r>
              <w:rPr>
                <w:rFonts w:ascii="Microsoft YaHei" w:hAnsi="Microsoft YaHei" w:eastAsia="Microsoft YaHei"/>
                <w:sz w:val="18"/>
              </w:rPr>
              <w:t>本地/远端差异</w:t>
            </w:r>
          </w:p>
        </w:tc>
        <w:tc>
          <w:tcPr>
            <w:tcW w:type="dxa" w:w="2736"/>
            <w:vAlign w:val="center"/>
          </w:tcPr>
          <w:p>
            <w:pPr>
              <w:spacing w:after="40"/>
            </w:pPr>
            <w:r>
              <w:rPr>
                <w:rFonts w:ascii="Microsoft YaHei" w:hAnsi="Microsoft YaHei" w:eastAsia="Microsoft YaHei"/>
                <w:sz w:val="18"/>
              </w:rPr>
              <w:t>迁移表、执行日志、dry-run 和回滚说明</w:t>
            </w:r>
          </w:p>
        </w:tc>
      </w:tr>
      <w:tr>
        <w:tc>
          <w:tcPr>
            <w:tcW w:type="dxa" w:w="1800"/>
            <w:vAlign w:val="center"/>
          </w:tcPr>
          <w:p>
            <w:pPr>
              <w:spacing w:after="40"/>
            </w:pPr>
            <w:r>
              <w:rPr>
                <w:rFonts w:ascii="Microsoft YaHei" w:hAnsi="Microsoft YaHei" w:eastAsia="Microsoft YaHei"/>
                <w:sz w:val="18"/>
              </w:rPr>
              <w:t>旧 hash 资源</w:t>
            </w:r>
          </w:p>
        </w:tc>
        <w:tc>
          <w:tcPr>
            <w:tcW w:type="dxa" w:w="2304"/>
            <w:vAlign w:val="center"/>
          </w:tcPr>
          <w:p>
            <w:pPr>
              <w:spacing w:after="40"/>
            </w:pPr>
            <w:r>
              <w:rPr>
                <w:rFonts w:ascii="Microsoft YaHei" w:hAnsi="Microsoft YaHei" w:eastAsia="Microsoft YaHei"/>
                <w:sz w:val="18"/>
              </w:rPr>
              <w:t>发布删除旧资源导致动态加载 404</w:t>
            </w:r>
          </w:p>
        </w:tc>
        <w:tc>
          <w:tcPr>
            <w:tcW w:type="dxa" w:w="2520"/>
            <w:vAlign w:val="center"/>
          </w:tcPr>
          <w:p>
            <w:pPr>
              <w:spacing w:after="40"/>
            </w:pPr>
            <w:r>
              <w:rPr>
                <w:rFonts w:ascii="Microsoft YaHei" w:hAnsi="Microsoft YaHei" w:eastAsia="Microsoft YaHei"/>
                <w:sz w:val="18"/>
              </w:rPr>
              <w:t>用户缓存窗口内页面异常</w:t>
            </w:r>
          </w:p>
        </w:tc>
        <w:tc>
          <w:tcPr>
            <w:tcW w:type="dxa" w:w="2736"/>
            <w:vAlign w:val="center"/>
          </w:tcPr>
          <w:p>
            <w:pPr>
              <w:spacing w:after="40"/>
            </w:pPr>
            <w:r>
              <w:rPr>
                <w:rFonts w:ascii="Microsoft YaHei" w:hAnsi="Microsoft YaHei" w:eastAsia="Microsoft YaHei"/>
                <w:sz w:val="18"/>
              </w:rPr>
              <w:t>发布 assets 保留历史 hash 并定期清理</w:t>
            </w:r>
          </w:p>
        </w:tc>
      </w:tr>
    </w:tbl>
    <w:p/>
    <w:p>
      <w:pPr>
        <w:pStyle w:val="Heading1"/>
      </w:pPr>
      <w:r>
        <w:rPr>
          <w:rFonts w:ascii="Microsoft YaHei" w:hAnsi="Microsoft YaHei" w:eastAsia="Microsoft YaHei"/>
          <w:b/>
          <w:color w:val="2E74B5"/>
          <w:sz w:val="32"/>
        </w:rPr>
        <w:t>18 阶段划分、路线图与第二阶段 Agent 交付系统边界</w:t>
      </w:r>
    </w:p>
    <w:p>
      <w:pPr>
        <w:spacing w:after="120" w:line="276" w:lineRule="auto"/>
        <w:ind w:firstLine="403"/>
      </w:pPr>
      <w:r>
        <w:rPr>
          <w:rFonts w:ascii="Microsoft YaHei" w:hAnsi="Microsoft YaHei" w:eastAsia="Microsoft YaHei"/>
          <w:sz w:val="21"/>
        </w:rPr>
        <w:t>用户近期明确提出两个方向：第一阶段是 EISCore 本体内的智能收单与 AI 自动入单；第二阶段是独立的 Agent 实施贯标运维系统，用于快速配置系统使用，并覆盖商务、售前、调研、合同、实施、二次开发、验收文件、验收、售后和维护。两个方向相关，但不能混为一个项目。</w:t>
      </w:r>
    </w:p>
    <w:p>
      <w:pPr>
        <w:spacing w:after="120" w:line="276" w:lineRule="auto"/>
        <w:ind w:firstLine="403"/>
      </w:pPr>
      <w:r>
        <w:rPr>
          <w:rFonts w:ascii="Microsoft YaHei" w:hAnsi="Microsoft YaHei" w:eastAsia="Microsoft YaHei"/>
          <w:sz w:val="21"/>
        </w:rPr>
        <w:t>第一阶段应围绕当前 EISCore 系统内部落地，目标是减少工厂人员录入，让每日杂乱资料自动进入业务单据。它的核心对象是资料、采集设备、解析结果、业务单据、字段映射、修正记录和统计数据。它直接依赖现有业务模块、动态应用、PostgREST、Agent Runtime、轻量本体和采集端。</w:t>
      </w:r>
    </w:p>
    <w:p>
      <w:pPr>
        <w:spacing w:after="120" w:line="276" w:lineRule="auto"/>
        <w:ind w:firstLine="403"/>
      </w:pPr>
      <w:r>
        <w:rPr>
          <w:rFonts w:ascii="Microsoft YaHei" w:hAnsi="Microsoft YaHei" w:eastAsia="Microsoft YaHei"/>
          <w:sz w:val="21"/>
        </w:rPr>
        <w:t>第二阶段 Agent 实施贯标运维系统则面向交付组织本身。它管理客户项目空间、商机、调研、合同范围、实施标准模板、配置包、二开任务、测试联调、验收文件、售后工单、运维巡检、知识模板和 Agent 执行记录。它的目标不是替代 EISCore 业务模块，而是让 EISCore 的销售交付和长期维护过程标准化、知识化、自动化。</w:t>
      </w:r>
    </w:p>
    <w:p>
      <w:pPr>
        <w:spacing w:after="120" w:line="276" w:lineRule="auto"/>
        <w:ind w:firstLine="403"/>
      </w:pPr>
      <w:r>
        <w:rPr>
          <w:rFonts w:ascii="Microsoft YaHei" w:hAnsi="Microsoft YaHei" w:eastAsia="Microsoft YaHei"/>
          <w:sz w:val="21"/>
        </w:rPr>
        <w:t>两者的集成点在配置包和知识库。第二阶段系统可以沉淀客户需求、合同范围和实施配置，生成 EISCore 的应用中心配置、字段配置、流程配置、权限配置和语义配置；第一阶段智能收单在客户现场运行后，也会产生字段映射、异常资料、修正记录和业务习惯，这些经验可以回流到第二阶段知识库，形成后续项目复用模板。</w:t>
      </w:r>
    </w:p>
    <w:p>
      <w:pPr>
        <w:spacing w:after="120" w:line="276" w:lineRule="auto"/>
        <w:ind w:firstLine="403"/>
      </w:pPr>
      <w:r>
        <w:rPr>
          <w:rFonts w:ascii="Microsoft YaHei" w:hAnsi="Microsoft YaHei" w:eastAsia="Microsoft YaHei"/>
          <w:sz w:val="21"/>
        </w:rPr>
        <w:t>阶段划分建议非常清晰：当前先稳住 EISCore 本体和智能收单 MVP，把一两类高价值单据跑通并形成后台可追溯；随后扩展更多业务模块和动态表入库；在 EISCore 本体可配置能力较稳定后，再启动第二阶段实施贯标运维系统。这样第二阶段的 Agent 才有足够明确的可执行接口，而不是只能停留在文档问答。</w:t>
      </w:r>
    </w:p>
    <w:p>
      <w:pPr>
        <w:spacing w:after="120" w:line="276" w:lineRule="auto"/>
        <w:ind w:firstLine="403"/>
      </w:pPr>
      <w:r>
        <w:rPr>
          <w:rFonts w:ascii="Microsoft YaHei" w:hAnsi="Microsoft YaHei" w:eastAsia="Microsoft YaHei"/>
          <w:sz w:val="21"/>
        </w:rPr>
        <w:t>最终愿景是形成闭环：商务和售前阶段形成客户画像和需求范围；调研阶段形成业务流程、字段和单据模板；合同阶段锁定交付边界；实施阶段生成配置包并落入 EISCore；运行阶段通过智能收单减少录入；验收阶段自动生成验收证据；售后维护阶段通过日志、工单和运行数据持续改进。这个闭环既是产品路线，也是交付方法论。</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340"/>
        <w:gridCol w:w="2340"/>
        <w:gridCol w:w="2340"/>
        <w:gridCol w:w="2340"/>
      </w:tblGrid>
      <w:tr>
        <w:tc>
          <w:tcPr>
            <w:tcW w:type="dxa" w:w="1944"/>
            <w:shd w:fill="E8EEF5"/>
            <w:vAlign w:val="center"/>
          </w:tcPr>
          <w:p>
            <w:pPr>
              <w:jc w:val="center"/>
            </w:pPr>
            <w:r>
              <w:rPr>
                <w:rFonts w:ascii="Microsoft YaHei" w:hAnsi="Microsoft YaHei" w:eastAsia="Microsoft YaHei"/>
                <w:b/>
                <w:sz w:val="18"/>
              </w:rPr>
              <w:t>阶段</w:t>
            </w:r>
          </w:p>
        </w:tc>
        <w:tc>
          <w:tcPr>
            <w:tcW w:type="dxa" w:w="2232"/>
            <w:shd w:fill="E8EEF5"/>
            <w:vAlign w:val="center"/>
          </w:tcPr>
          <w:p>
            <w:pPr>
              <w:jc w:val="center"/>
            </w:pPr>
            <w:r>
              <w:rPr>
                <w:rFonts w:ascii="Microsoft YaHei" w:hAnsi="Microsoft YaHei" w:eastAsia="Microsoft YaHei"/>
                <w:b/>
                <w:sz w:val="18"/>
              </w:rPr>
              <w:t>系统边界</w:t>
            </w:r>
          </w:p>
        </w:tc>
        <w:tc>
          <w:tcPr>
            <w:tcW w:type="dxa" w:w="3168"/>
            <w:shd w:fill="E8EEF5"/>
            <w:vAlign w:val="center"/>
          </w:tcPr>
          <w:p>
            <w:pPr>
              <w:jc w:val="center"/>
            </w:pPr>
            <w:r>
              <w:rPr>
                <w:rFonts w:ascii="Microsoft YaHei" w:hAnsi="Microsoft YaHei" w:eastAsia="Microsoft YaHei"/>
                <w:b/>
                <w:sz w:val="18"/>
              </w:rPr>
              <w:t>核心对象</w:t>
            </w:r>
          </w:p>
        </w:tc>
        <w:tc>
          <w:tcPr>
            <w:tcW w:type="dxa" w:w="2376"/>
            <w:shd w:fill="E8EEF5"/>
            <w:vAlign w:val="center"/>
          </w:tcPr>
          <w:p>
            <w:pPr>
              <w:jc w:val="center"/>
            </w:pPr>
            <w:r>
              <w:rPr>
                <w:rFonts w:ascii="Microsoft YaHei" w:hAnsi="Microsoft YaHei" w:eastAsia="Microsoft YaHei"/>
                <w:b/>
                <w:sz w:val="18"/>
              </w:rPr>
              <w:t>验收重点</w:t>
            </w:r>
          </w:p>
        </w:tc>
      </w:tr>
      <w:tr>
        <w:tc>
          <w:tcPr>
            <w:tcW w:type="dxa" w:w="1944"/>
            <w:vAlign w:val="center"/>
          </w:tcPr>
          <w:p>
            <w:pPr>
              <w:spacing w:after="40"/>
            </w:pPr>
            <w:r>
              <w:rPr>
                <w:rFonts w:ascii="Microsoft YaHei" w:hAnsi="Microsoft YaHei" w:eastAsia="Microsoft YaHei"/>
                <w:sz w:val="18"/>
              </w:rPr>
              <w:t>阶段 0：当前系统治理</w:t>
            </w:r>
          </w:p>
        </w:tc>
        <w:tc>
          <w:tcPr>
            <w:tcW w:type="dxa" w:w="2232"/>
            <w:vAlign w:val="center"/>
          </w:tcPr>
          <w:p>
            <w:pPr>
              <w:spacing w:after="40"/>
            </w:pPr>
            <w:r>
              <w:rPr>
                <w:rFonts w:ascii="Microsoft YaHei" w:hAnsi="Microsoft YaHei" w:eastAsia="Microsoft YaHei"/>
                <w:sz w:val="18"/>
              </w:rPr>
              <w:t>EISCore 本体</w:t>
            </w:r>
          </w:p>
        </w:tc>
        <w:tc>
          <w:tcPr>
            <w:tcW w:type="dxa" w:w="3168"/>
            <w:vAlign w:val="center"/>
          </w:tcPr>
          <w:p>
            <w:pPr>
              <w:spacing w:after="40"/>
            </w:pPr>
            <w:r>
              <w:rPr>
                <w:rFonts w:ascii="Microsoft YaHei" w:hAnsi="Microsoft YaHei" w:eastAsia="Microsoft YaHei"/>
                <w:sz w:val="18"/>
              </w:rPr>
              <w:t>前端模块、数据库、PostgREST、Agent Runtime、SQL patch、测试</w:t>
            </w:r>
          </w:p>
        </w:tc>
        <w:tc>
          <w:tcPr>
            <w:tcW w:type="dxa" w:w="2376"/>
            <w:vAlign w:val="center"/>
          </w:tcPr>
          <w:p>
            <w:pPr>
              <w:spacing w:after="40"/>
            </w:pPr>
            <w:r>
              <w:rPr>
                <w:rFonts w:ascii="Microsoft YaHei" w:hAnsi="Microsoft YaHei" w:eastAsia="Microsoft YaHei"/>
                <w:sz w:val="18"/>
              </w:rPr>
              <w:t>能稳定启动、核心链路可测、乱码和端口问题有治理</w:t>
            </w:r>
          </w:p>
        </w:tc>
      </w:tr>
      <w:tr>
        <w:tc>
          <w:tcPr>
            <w:tcW w:type="dxa" w:w="1944"/>
            <w:vAlign w:val="center"/>
          </w:tcPr>
          <w:p>
            <w:pPr>
              <w:spacing w:after="40"/>
            </w:pPr>
            <w:r>
              <w:rPr>
                <w:rFonts w:ascii="Microsoft YaHei" w:hAnsi="Microsoft YaHei" w:eastAsia="Microsoft YaHei"/>
                <w:sz w:val="18"/>
              </w:rPr>
              <w:t>阶段 1：智能收单 MVP</w:t>
            </w:r>
          </w:p>
        </w:tc>
        <w:tc>
          <w:tcPr>
            <w:tcW w:type="dxa" w:w="2232"/>
            <w:vAlign w:val="center"/>
          </w:tcPr>
          <w:p>
            <w:pPr>
              <w:spacing w:after="40"/>
            </w:pPr>
            <w:r>
              <w:rPr>
                <w:rFonts w:ascii="Microsoft YaHei" w:hAnsi="Microsoft YaHei" w:eastAsia="Microsoft YaHei"/>
                <w:sz w:val="18"/>
              </w:rPr>
              <w:t>EISCore 内部增强</w:t>
            </w:r>
          </w:p>
        </w:tc>
        <w:tc>
          <w:tcPr>
            <w:tcW w:type="dxa" w:w="3168"/>
            <w:vAlign w:val="center"/>
          </w:tcPr>
          <w:p>
            <w:pPr>
              <w:spacing w:after="40"/>
            </w:pPr>
            <w:r>
              <w:rPr>
                <w:rFonts w:ascii="Microsoft YaHei" w:hAnsi="Microsoft YaHei" w:eastAsia="Microsoft YaHei"/>
                <w:sz w:val="18"/>
              </w:rPr>
              <w:t>采集端、资料资产、解析任务、入库计划、业务链接</w:t>
            </w:r>
          </w:p>
        </w:tc>
        <w:tc>
          <w:tcPr>
            <w:tcW w:type="dxa" w:w="2376"/>
            <w:vAlign w:val="center"/>
          </w:tcPr>
          <w:p>
            <w:pPr>
              <w:spacing w:after="40"/>
            </w:pPr>
            <w:r>
              <w:rPr>
                <w:rFonts w:ascii="Microsoft YaHei" w:hAnsi="Microsoft YaHei" w:eastAsia="Microsoft YaHei"/>
                <w:sz w:val="18"/>
              </w:rPr>
              <w:t>一类固定单据端到端自动入库并可修改追溯</w:t>
            </w:r>
          </w:p>
        </w:tc>
      </w:tr>
      <w:tr>
        <w:tc>
          <w:tcPr>
            <w:tcW w:type="dxa" w:w="1944"/>
            <w:vAlign w:val="center"/>
          </w:tcPr>
          <w:p>
            <w:pPr>
              <w:spacing w:after="40"/>
            </w:pPr>
            <w:r>
              <w:rPr>
                <w:rFonts w:ascii="Microsoft YaHei" w:hAnsi="Microsoft YaHei" w:eastAsia="Microsoft YaHei"/>
                <w:sz w:val="18"/>
              </w:rPr>
              <w:t>阶段 1.5：多模块扩展</w:t>
            </w:r>
          </w:p>
        </w:tc>
        <w:tc>
          <w:tcPr>
            <w:tcW w:type="dxa" w:w="2232"/>
            <w:vAlign w:val="center"/>
          </w:tcPr>
          <w:p>
            <w:pPr>
              <w:spacing w:after="40"/>
            </w:pPr>
            <w:r>
              <w:rPr>
                <w:rFonts w:ascii="Microsoft YaHei" w:hAnsi="Microsoft YaHei" w:eastAsia="Microsoft YaHei"/>
                <w:sz w:val="18"/>
              </w:rPr>
              <w:t>EISCore + 动态应用</w:t>
            </w:r>
          </w:p>
        </w:tc>
        <w:tc>
          <w:tcPr>
            <w:tcW w:type="dxa" w:w="3168"/>
            <w:vAlign w:val="center"/>
          </w:tcPr>
          <w:p>
            <w:pPr>
              <w:spacing w:after="40"/>
            </w:pPr>
            <w:r>
              <w:rPr>
                <w:rFonts w:ascii="Microsoft YaHei" w:hAnsi="Microsoft YaHei" w:eastAsia="Microsoft YaHei"/>
                <w:sz w:val="18"/>
              </w:rPr>
              <w:t>多业务类型、多单据拆分、未匹配字段、低置信度复核</w:t>
            </w:r>
          </w:p>
        </w:tc>
        <w:tc>
          <w:tcPr>
            <w:tcW w:type="dxa" w:w="2376"/>
            <w:vAlign w:val="center"/>
          </w:tcPr>
          <w:p>
            <w:pPr>
              <w:spacing w:after="40"/>
            </w:pPr>
            <w:r>
              <w:rPr>
                <w:rFonts w:ascii="Microsoft YaHei" w:hAnsi="Microsoft YaHei" w:eastAsia="Microsoft YaHei"/>
                <w:sz w:val="18"/>
              </w:rPr>
              <w:t>销售/采购/仓储/质量/设备等多类资料可配置接入</w:t>
            </w:r>
          </w:p>
        </w:tc>
      </w:tr>
      <w:tr>
        <w:tc>
          <w:tcPr>
            <w:tcW w:type="dxa" w:w="1944"/>
            <w:vAlign w:val="center"/>
          </w:tcPr>
          <w:p>
            <w:pPr>
              <w:spacing w:after="40"/>
            </w:pPr>
            <w:r>
              <w:rPr>
                <w:rFonts w:ascii="Microsoft YaHei" w:hAnsi="Microsoft YaHei" w:eastAsia="Microsoft YaHei"/>
                <w:sz w:val="18"/>
              </w:rPr>
              <w:t>阶段 2：Agent 实施贯标运维</w:t>
            </w:r>
          </w:p>
        </w:tc>
        <w:tc>
          <w:tcPr>
            <w:tcW w:type="dxa" w:w="2232"/>
            <w:vAlign w:val="center"/>
          </w:tcPr>
          <w:p>
            <w:pPr>
              <w:spacing w:after="40"/>
            </w:pPr>
            <w:r>
              <w:rPr>
                <w:rFonts w:ascii="Microsoft YaHei" w:hAnsi="Microsoft YaHei" w:eastAsia="Microsoft YaHei"/>
                <w:sz w:val="18"/>
              </w:rPr>
              <w:t>独立交付系统</w:t>
            </w:r>
          </w:p>
        </w:tc>
        <w:tc>
          <w:tcPr>
            <w:tcW w:type="dxa" w:w="3168"/>
            <w:vAlign w:val="center"/>
          </w:tcPr>
          <w:p>
            <w:pPr>
              <w:spacing w:after="40"/>
            </w:pPr>
            <w:r>
              <w:rPr>
                <w:rFonts w:ascii="Microsoft YaHei" w:hAnsi="Microsoft YaHei" w:eastAsia="Microsoft YaHei"/>
                <w:sz w:val="18"/>
              </w:rPr>
              <w:t>客户项目、调研、合同、配置包、二开、验收、售后、知识模板</w:t>
            </w:r>
          </w:p>
        </w:tc>
        <w:tc>
          <w:tcPr>
            <w:tcW w:type="dxa" w:w="2376"/>
            <w:vAlign w:val="center"/>
          </w:tcPr>
          <w:p>
            <w:pPr>
              <w:spacing w:after="40"/>
            </w:pPr>
            <w:r>
              <w:rPr>
                <w:rFonts w:ascii="Microsoft YaHei" w:hAnsi="Microsoft YaHei" w:eastAsia="Microsoft YaHei"/>
                <w:sz w:val="18"/>
              </w:rPr>
              <w:t>从客户需求到 EISCore 配置和验收文档的闭环</w:t>
            </w:r>
          </w:p>
        </w:tc>
      </w:tr>
      <w:tr>
        <w:tc>
          <w:tcPr>
            <w:tcW w:type="dxa" w:w="1944"/>
            <w:vAlign w:val="center"/>
          </w:tcPr>
          <w:p>
            <w:pPr>
              <w:spacing w:after="40"/>
            </w:pPr>
            <w:r>
              <w:rPr>
                <w:rFonts w:ascii="Microsoft YaHei" w:hAnsi="Microsoft YaHei" w:eastAsia="Microsoft YaHei"/>
                <w:sz w:val="18"/>
              </w:rPr>
              <w:t>阶段 3：产品化运营</w:t>
            </w:r>
          </w:p>
        </w:tc>
        <w:tc>
          <w:tcPr>
            <w:tcW w:type="dxa" w:w="2232"/>
            <w:vAlign w:val="center"/>
          </w:tcPr>
          <w:p>
            <w:pPr>
              <w:spacing w:after="40"/>
            </w:pPr>
            <w:r>
              <w:rPr>
                <w:rFonts w:ascii="Microsoft YaHei" w:hAnsi="Microsoft YaHei" w:eastAsia="Microsoft YaHei"/>
                <w:sz w:val="18"/>
              </w:rPr>
              <w:t>多客户/多环境</w:t>
            </w:r>
          </w:p>
        </w:tc>
        <w:tc>
          <w:tcPr>
            <w:tcW w:type="dxa" w:w="3168"/>
            <w:vAlign w:val="center"/>
          </w:tcPr>
          <w:p>
            <w:pPr>
              <w:spacing w:after="40"/>
            </w:pPr>
            <w:r>
              <w:rPr>
                <w:rFonts w:ascii="Microsoft YaHei" w:hAnsi="Microsoft YaHei" w:eastAsia="Microsoft YaHei"/>
                <w:sz w:val="18"/>
              </w:rPr>
              <w:t>版本、授权、备份、监控、升级、知识复用</w:t>
            </w:r>
          </w:p>
        </w:tc>
        <w:tc>
          <w:tcPr>
            <w:tcW w:type="dxa" w:w="2376"/>
            <w:vAlign w:val="center"/>
          </w:tcPr>
          <w:p>
            <w:pPr>
              <w:spacing w:after="40"/>
            </w:pPr>
            <w:r>
              <w:rPr>
                <w:rFonts w:ascii="Microsoft YaHei" w:hAnsi="Microsoft YaHei" w:eastAsia="Microsoft YaHei"/>
                <w:sz w:val="18"/>
              </w:rPr>
              <w:t>可复制交付、可持续运维、可审计可收费</w:t>
            </w:r>
          </w:p>
        </w:tc>
      </w:tr>
    </w:tbl>
    <w:p/>
    <w:p>
      <w:pPr>
        <w:pStyle w:val="Heading1"/>
      </w:pPr>
      <w:r>
        <w:rPr>
          <w:rFonts w:ascii="Microsoft YaHei" w:hAnsi="Microsoft YaHei" w:eastAsia="Microsoft YaHei"/>
          <w:b/>
          <w:color w:val="2E74B5"/>
          <w:sz w:val="32"/>
        </w:rPr>
        <w:t>19 扩展分析：业务闭环、现场场景与交付方法</w:t>
      </w:r>
    </w:p>
    <w:p>
      <w:pPr>
        <w:spacing w:after="120" w:line="276" w:lineRule="auto"/>
        <w:ind w:firstLine="403"/>
      </w:pPr>
      <w:r>
        <w:rPr>
          <w:rFonts w:ascii="Microsoft YaHei" w:hAnsi="Microsoft YaHei" w:eastAsia="Microsoft YaHei"/>
          <w:sz w:val="21"/>
        </w:rPr>
        <w:t>前面章节主要从系统结构和模块现状展开，本章进一步从业务闭环和交付方法角度补充说明。原因在于 EISCore 的复杂度不只来自技术数量，也来自制造企业真实业务的交叉性：一张销售订单可能影响生产计划，一张供应商送货单可能影响采购、质量和库存，一张设备点检表可能影响生产停机和质量风险。系统要真正可用，必须围绕这些闭环设计，而不是只把每个模块做成独立表格。</w:t>
      </w:r>
    </w:p>
    <w:p>
      <w:pPr>
        <w:pStyle w:val="Heading2"/>
      </w:pPr>
      <w:r>
        <w:rPr>
          <w:rFonts w:ascii="Microsoft YaHei" w:hAnsi="Microsoft YaHei" w:eastAsia="Microsoft YaHei"/>
          <w:b/>
          <w:color w:val="2E74B5"/>
          <w:sz w:val="26"/>
        </w:rPr>
        <w:t>19.1 典型角色与系统责任</w:t>
      </w:r>
    </w:p>
    <w:p>
      <w:pPr>
        <w:spacing w:after="120" w:line="276" w:lineRule="auto"/>
        <w:ind w:firstLine="403"/>
      </w:pPr>
      <w:r>
        <w:rPr>
          <w:rFonts w:ascii="Microsoft YaHei" w:hAnsi="Microsoft YaHei" w:eastAsia="Microsoft YaHei"/>
          <w:sz w:val="21"/>
        </w:rPr>
        <w:t>角色分析是需求文档和技术文档之间的桥梁。技术架构如果不能映射到真实岗位，就容易出现功能完整但没人使用的情况。EISCore 当前的角色可以分为平台治理角色、业务操作角色、现场执行角色、管理分析角色和自动化执行主体。不同角色对权限、页面、移动端、日志和 AI 自动化的要求完全不同。</w:t>
      </w:r>
    </w:p>
    <w:p>
      <w:pPr>
        <w:pStyle w:val="Heading3"/>
      </w:pPr>
      <w:r>
        <w:rPr>
          <w:rFonts w:ascii="Microsoft YaHei" w:hAnsi="Microsoft YaHei" w:eastAsia="Microsoft YaHei"/>
          <w:b/>
          <w:color w:val="1F4D78"/>
          <w:sz w:val="24"/>
        </w:rPr>
        <w:t>系统管理员</w:t>
      </w:r>
    </w:p>
    <w:p>
      <w:pPr>
        <w:spacing w:after="120" w:line="276" w:lineRule="auto"/>
        <w:ind w:firstLine="403"/>
      </w:pPr>
      <w:r>
        <w:rPr>
          <w:rFonts w:ascii="Microsoft YaHei" w:hAnsi="Microsoft YaHei" w:eastAsia="Microsoft YaHei"/>
          <w:sz w:val="21"/>
        </w:rPr>
        <w:t>负责企业参数、用户角色、菜单权限、字段权限、采集设备、动态应用发布和基础数据维护。该角色不是日常业务录入者，而是平台治理者，需要能看到配置变更、异常日志和 Agent 执行记录。</w:t>
      </w:r>
    </w:p>
    <w:p>
      <w:pPr>
        <w:spacing w:after="120" w:line="276" w:lineRule="auto"/>
        <w:ind w:firstLine="403"/>
      </w:pPr>
      <w:r>
        <w:rPr>
          <w:rFonts w:ascii="Microsoft YaHei" w:hAnsi="Microsoft YaHei" w:eastAsia="Microsoft YaHei"/>
          <w:sz w:val="21"/>
        </w:rPr>
        <w:t>从系统设计上看，系统管理员 的行为都应留下可追踪记录。对于人工角色，重点是身份、部门、岗位、操作时间和业务对象；对于自动化任务，重点是触发来源、工具权限、输入参数、输出结果和失败原因。只有把角色行为和数据变更关联起来，后续的审计、统计和责任追踪才有基础。</w:t>
      </w:r>
    </w:p>
    <w:p>
      <w:pPr>
        <w:pStyle w:val="Heading3"/>
      </w:pPr>
      <w:r>
        <w:rPr>
          <w:rFonts w:ascii="Microsoft YaHei" w:hAnsi="Microsoft YaHei" w:eastAsia="Microsoft YaHei"/>
          <w:b/>
          <w:color w:val="1F4D78"/>
          <w:sz w:val="24"/>
        </w:rPr>
        <w:t>实施顾问</w:t>
      </w:r>
    </w:p>
    <w:p>
      <w:pPr>
        <w:spacing w:after="120" w:line="276" w:lineRule="auto"/>
        <w:ind w:firstLine="403"/>
      </w:pPr>
      <w:r>
        <w:rPr>
          <w:rFonts w:ascii="Microsoft YaHei" w:hAnsi="Microsoft YaHei" w:eastAsia="Microsoft YaHei"/>
          <w:sz w:val="21"/>
        </w:rPr>
        <w:t>负责根据客户调研结果配置模块、字段、流程、权限和报表。当前系统的应用中心、工作流和轻量本体为实施顾问提供了可配置空间，第二阶段 Agent 实施贯标系统会进一步把实施过程标准化。</w:t>
      </w:r>
    </w:p>
    <w:p>
      <w:pPr>
        <w:spacing w:after="120" w:line="276" w:lineRule="auto"/>
        <w:ind w:firstLine="403"/>
      </w:pPr>
      <w:r>
        <w:rPr>
          <w:rFonts w:ascii="Microsoft YaHei" w:hAnsi="Microsoft YaHei" w:eastAsia="Microsoft YaHei"/>
          <w:sz w:val="21"/>
        </w:rPr>
        <w:t>从系统设计上看，实施顾问 的行为都应留下可追踪记录。对于人工角色，重点是身份、部门、岗位、操作时间和业务对象；对于自动化任务，重点是触发来源、工具权限、输入参数、输出结果和失败原因。只有把角色行为和数据变更关联起来，后续的审计、统计和责任追踪才有基础。</w:t>
      </w:r>
    </w:p>
    <w:p>
      <w:pPr>
        <w:pStyle w:val="Heading3"/>
      </w:pPr>
      <w:r>
        <w:rPr>
          <w:rFonts w:ascii="Microsoft YaHei" w:hAnsi="Microsoft YaHei" w:eastAsia="Microsoft YaHei"/>
          <w:b/>
          <w:color w:val="1F4D78"/>
          <w:sz w:val="24"/>
        </w:rPr>
        <w:t>销售人员</w:t>
      </w:r>
    </w:p>
    <w:p>
      <w:pPr>
        <w:spacing w:after="120" w:line="276" w:lineRule="auto"/>
        <w:ind w:firstLine="403"/>
      </w:pPr>
      <w:r>
        <w:rPr>
          <w:rFonts w:ascii="Microsoft YaHei" w:hAnsi="Microsoft YaHei" w:eastAsia="Microsoft YaHei"/>
          <w:sz w:val="21"/>
        </w:rPr>
        <w:t>负责客户档案、商机、报价、订单、出货申请和回款跟踪。销售数据是生产和采购的需求源头，因此销售模块与库存、生产和财务统计之间需要保持单据关联。</w:t>
      </w:r>
    </w:p>
    <w:p>
      <w:pPr>
        <w:spacing w:after="120" w:line="276" w:lineRule="auto"/>
        <w:ind w:firstLine="403"/>
      </w:pPr>
      <w:r>
        <w:rPr>
          <w:rFonts w:ascii="Microsoft YaHei" w:hAnsi="Microsoft YaHei" w:eastAsia="Microsoft YaHei"/>
          <w:sz w:val="21"/>
        </w:rPr>
        <w:t>从系统设计上看，销售人员 的行为都应留下可追踪记录。对于人工角色，重点是身份、部门、岗位、操作时间和业务对象；对于自动化任务，重点是触发来源、工具权限、输入参数、输出结果和失败原因。只有把角色行为和数据变更关联起来，后续的审计、统计和责任追踪才有基础。</w:t>
      </w:r>
    </w:p>
    <w:p>
      <w:pPr>
        <w:pStyle w:val="Heading3"/>
      </w:pPr>
      <w:r>
        <w:rPr>
          <w:rFonts w:ascii="Microsoft YaHei" w:hAnsi="Microsoft YaHei" w:eastAsia="Microsoft YaHei"/>
          <w:b/>
          <w:color w:val="1F4D78"/>
          <w:sz w:val="24"/>
        </w:rPr>
        <w:t>采购人员</w:t>
      </w:r>
    </w:p>
    <w:p>
      <w:pPr>
        <w:spacing w:after="120" w:line="276" w:lineRule="auto"/>
        <w:ind w:firstLine="403"/>
      </w:pPr>
      <w:r>
        <w:rPr>
          <w:rFonts w:ascii="Microsoft YaHei" w:hAnsi="Microsoft YaHei" w:eastAsia="Microsoft YaHei"/>
          <w:sz w:val="21"/>
        </w:rPr>
        <w:t>负责供应商、采购需求、采购订单和到货跟踪。采购资料往往来自供应商送货单、合同、订单确认和到货凭证，是智能收单第一阶段适合优先覆盖的角色。</w:t>
      </w:r>
    </w:p>
    <w:p>
      <w:pPr>
        <w:spacing w:after="120" w:line="276" w:lineRule="auto"/>
        <w:ind w:firstLine="403"/>
      </w:pPr>
      <w:r>
        <w:rPr>
          <w:rFonts w:ascii="Microsoft YaHei" w:hAnsi="Microsoft YaHei" w:eastAsia="Microsoft YaHei"/>
          <w:sz w:val="21"/>
        </w:rPr>
        <w:t>从系统设计上看，采购人员 的行为都应留下可追踪记录。对于人工角色，重点是身份、部门、岗位、操作时间和业务对象；对于自动化任务，重点是触发来源、工具权限、输入参数、输出结果和失败原因。只有把角色行为和数据变更关联起来，后续的审计、统计和责任追踪才有基础。</w:t>
      </w:r>
    </w:p>
    <w:p>
      <w:pPr>
        <w:pStyle w:val="Heading3"/>
      </w:pPr>
      <w:r>
        <w:rPr>
          <w:rFonts w:ascii="Microsoft YaHei" w:hAnsi="Microsoft YaHei" w:eastAsia="Microsoft YaHei"/>
          <w:b/>
          <w:color w:val="1F4D78"/>
          <w:sz w:val="24"/>
        </w:rPr>
        <w:t>仓储人员</w:t>
      </w:r>
    </w:p>
    <w:p>
      <w:pPr>
        <w:spacing w:after="120" w:line="276" w:lineRule="auto"/>
        <w:ind w:firstLine="403"/>
      </w:pPr>
      <w:r>
        <w:rPr>
          <w:rFonts w:ascii="Microsoft YaHei" w:hAnsi="Microsoft YaHei" w:eastAsia="Microsoft YaHei"/>
          <w:sz w:val="21"/>
        </w:rPr>
        <w:t>负责物料、批次、仓库、入库、出库、盘点和库存查询。仓储人员对系统录入的频次高、数据影响直接，因此移动端扫码和 AI 资料入库都应优先保证库存 RPC 的一致性。</w:t>
      </w:r>
    </w:p>
    <w:p>
      <w:pPr>
        <w:spacing w:after="120" w:line="276" w:lineRule="auto"/>
        <w:ind w:firstLine="403"/>
      </w:pPr>
      <w:r>
        <w:rPr>
          <w:rFonts w:ascii="Microsoft YaHei" w:hAnsi="Microsoft YaHei" w:eastAsia="Microsoft YaHei"/>
          <w:sz w:val="21"/>
        </w:rPr>
        <w:t>从系统设计上看，仓储人员 的行为都应留下可追踪记录。对于人工角色，重点是身份、部门、岗位、操作时间和业务对象；对于自动化任务，重点是触发来源、工具权限、输入参数、输出结果和失败原因。只有把角色行为和数据变更关联起来，后续的审计、统计和责任追踪才有基础。</w:t>
      </w:r>
    </w:p>
    <w:p>
      <w:pPr>
        <w:pStyle w:val="Heading3"/>
      </w:pPr>
      <w:r>
        <w:rPr>
          <w:rFonts w:ascii="Microsoft YaHei" w:hAnsi="Microsoft YaHei" w:eastAsia="Microsoft YaHei"/>
          <w:b/>
          <w:color w:val="1F4D78"/>
          <w:sz w:val="24"/>
        </w:rPr>
        <w:t>生产计划</w:t>
      </w:r>
    </w:p>
    <w:p>
      <w:pPr>
        <w:spacing w:after="120" w:line="276" w:lineRule="auto"/>
        <w:ind w:firstLine="403"/>
      </w:pPr>
      <w:r>
        <w:rPr>
          <w:rFonts w:ascii="Microsoft YaHei" w:hAnsi="Microsoft YaHei" w:eastAsia="Microsoft YaHei"/>
          <w:sz w:val="21"/>
        </w:rPr>
        <w:t>负责根据销售订单、库存和 BOM 形成生产建议与工单。该角色关心齐套、缺料、交期和产能，系统需要把销售、采购、仓储和生产数据在同一口径下汇总。</w:t>
      </w:r>
    </w:p>
    <w:p>
      <w:pPr>
        <w:spacing w:after="120" w:line="276" w:lineRule="auto"/>
        <w:ind w:firstLine="403"/>
      </w:pPr>
      <w:r>
        <w:rPr>
          <w:rFonts w:ascii="Microsoft YaHei" w:hAnsi="Microsoft YaHei" w:eastAsia="Microsoft YaHei"/>
          <w:sz w:val="21"/>
        </w:rPr>
        <w:t>从系统设计上看，生产计划 的行为都应留下可追踪记录。对于人工角色，重点是身份、部门、岗位、操作时间和业务对象；对于自动化任务，重点是触发来源、工具权限、输入参数、输出结果和失败原因。只有把角色行为和数据变更关联起来，后续的审计、统计和责任追踪才有基础。</w:t>
      </w:r>
    </w:p>
    <w:p>
      <w:pPr>
        <w:pStyle w:val="Heading3"/>
      </w:pPr>
      <w:r>
        <w:rPr>
          <w:rFonts w:ascii="Microsoft YaHei" w:hAnsi="Microsoft YaHei" w:eastAsia="Microsoft YaHei"/>
          <w:b/>
          <w:color w:val="1F4D78"/>
          <w:sz w:val="24"/>
        </w:rPr>
        <w:t>车间执行人员</w:t>
      </w:r>
    </w:p>
    <w:p>
      <w:pPr>
        <w:spacing w:after="120" w:line="276" w:lineRule="auto"/>
        <w:ind w:firstLine="403"/>
      </w:pPr>
      <w:r>
        <w:rPr>
          <w:rFonts w:ascii="Microsoft YaHei" w:hAnsi="Microsoft YaHei" w:eastAsia="Microsoft YaHei"/>
          <w:sz w:val="21"/>
        </w:rPr>
        <w:t>负责工单执行、领料、报工、异常反馈和现场记录。该角色可能不愿意填写复杂系统表单，因此移动端和资料自动采集对降低录入成本非常关键。</w:t>
      </w:r>
    </w:p>
    <w:p>
      <w:pPr>
        <w:spacing w:after="120" w:line="276" w:lineRule="auto"/>
        <w:ind w:firstLine="403"/>
      </w:pPr>
      <w:r>
        <w:rPr>
          <w:rFonts w:ascii="Microsoft YaHei" w:hAnsi="Microsoft YaHei" w:eastAsia="Microsoft YaHei"/>
          <w:sz w:val="21"/>
        </w:rPr>
        <w:t>从系统设计上看，车间执行人员 的行为都应留下可追踪记录。对于人工角色，重点是身份、部门、岗位、操作时间和业务对象；对于自动化任务，重点是触发来源、工具权限、输入参数、输出结果和失败原因。只有把角色行为和数据变更关联起来，后续的审计、统计和责任追踪才有基础。</w:t>
      </w:r>
    </w:p>
    <w:p>
      <w:pPr>
        <w:pStyle w:val="Heading3"/>
      </w:pPr>
      <w:r>
        <w:rPr>
          <w:rFonts w:ascii="Microsoft YaHei" w:hAnsi="Microsoft YaHei" w:eastAsia="Microsoft YaHei"/>
          <w:b/>
          <w:color w:val="1F4D78"/>
          <w:sz w:val="24"/>
        </w:rPr>
        <w:t>质量人员</w:t>
      </w:r>
    </w:p>
    <w:p>
      <w:pPr>
        <w:spacing w:after="120" w:line="276" w:lineRule="auto"/>
        <w:ind w:firstLine="403"/>
      </w:pPr>
      <w:r>
        <w:rPr>
          <w:rFonts w:ascii="Microsoft YaHei" w:hAnsi="Microsoft YaHei" w:eastAsia="Microsoft YaHei"/>
          <w:sz w:val="21"/>
        </w:rPr>
        <w:t>负责检验台账、生产检验、质量异常、整改和审核。质量资料证据性强，AI 自动识别后必须保留原始附件、解析结果和人工修正轨迹。</w:t>
      </w:r>
    </w:p>
    <w:p>
      <w:pPr>
        <w:spacing w:after="120" w:line="276" w:lineRule="auto"/>
        <w:ind w:firstLine="403"/>
      </w:pPr>
      <w:r>
        <w:rPr>
          <w:rFonts w:ascii="Microsoft YaHei" w:hAnsi="Microsoft YaHei" w:eastAsia="Microsoft YaHei"/>
          <w:sz w:val="21"/>
        </w:rPr>
        <w:t>从系统设计上看，质量人员 的行为都应留下可追踪记录。对于人工角色，重点是身份、部门、岗位、操作时间和业务对象；对于自动化任务，重点是触发来源、工具权限、输入参数、输出结果和失败原因。只有把角色行为和数据变更关联起来，后续的审计、统计和责任追踪才有基础。</w:t>
      </w:r>
    </w:p>
    <w:p>
      <w:pPr>
        <w:pStyle w:val="Heading3"/>
      </w:pPr>
      <w:r>
        <w:rPr>
          <w:rFonts w:ascii="Microsoft YaHei" w:hAnsi="Microsoft YaHei" w:eastAsia="Microsoft YaHei"/>
          <w:b/>
          <w:color w:val="1F4D78"/>
          <w:sz w:val="24"/>
        </w:rPr>
        <w:t>设备人员</w:t>
      </w:r>
    </w:p>
    <w:p>
      <w:pPr>
        <w:spacing w:after="120" w:line="276" w:lineRule="auto"/>
        <w:ind w:firstLine="403"/>
      </w:pPr>
      <w:r>
        <w:rPr>
          <w:rFonts w:ascii="Microsoft YaHei" w:hAnsi="Microsoft YaHei" w:eastAsia="Microsoft YaHei"/>
          <w:sz w:val="21"/>
        </w:rPr>
        <w:t>负责设备台账、点检、异常和维保工单。设备记录常发生在现场，后续适合通过移动端拍照、扫码和采集端资料识别形成设备维保闭环。</w:t>
      </w:r>
    </w:p>
    <w:p>
      <w:pPr>
        <w:spacing w:after="120" w:line="276" w:lineRule="auto"/>
        <w:ind w:firstLine="403"/>
      </w:pPr>
      <w:r>
        <w:rPr>
          <w:rFonts w:ascii="Microsoft YaHei" w:hAnsi="Microsoft YaHei" w:eastAsia="Microsoft YaHei"/>
          <w:sz w:val="21"/>
        </w:rPr>
        <w:t>从系统设计上看，设备人员 的行为都应留下可追踪记录。对于人工角色，重点是身份、部门、岗位、操作时间和业务对象；对于自动化任务，重点是触发来源、工具权限、输入参数、输出结果和失败原因。只有把角色行为和数据变更关联起来，后续的审计、统计和责任追踪才有基础。</w:t>
      </w:r>
    </w:p>
    <w:p>
      <w:pPr>
        <w:pStyle w:val="Heading3"/>
      </w:pPr>
      <w:r>
        <w:rPr>
          <w:rFonts w:ascii="Microsoft YaHei" w:hAnsi="Microsoft YaHei" w:eastAsia="Microsoft YaHei"/>
          <w:b/>
          <w:color w:val="1F4D78"/>
          <w:sz w:val="24"/>
        </w:rPr>
        <w:t>管理层</w:t>
      </w:r>
    </w:p>
    <w:p>
      <w:pPr>
        <w:spacing w:after="120" w:line="276" w:lineRule="auto"/>
        <w:ind w:firstLine="403"/>
      </w:pPr>
      <w:r>
        <w:rPr>
          <w:rFonts w:ascii="Microsoft YaHei" w:hAnsi="Microsoft YaHei" w:eastAsia="Microsoft YaHei"/>
          <w:sz w:val="21"/>
        </w:rPr>
        <w:t>关注销售、库存、生产、质量、设备、回款和风险指标。决策支持模块和 Smart BI 需要依赖统一口径的数据，尤其要标识 AI 未审核数据是否纳入统计。</w:t>
      </w:r>
    </w:p>
    <w:p>
      <w:pPr>
        <w:spacing w:after="120" w:line="276" w:lineRule="auto"/>
        <w:ind w:firstLine="403"/>
      </w:pPr>
      <w:r>
        <w:rPr>
          <w:rFonts w:ascii="Microsoft YaHei" w:hAnsi="Microsoft YaHei" w:eastAsia="Microsoft YaHei"/>
          <w:sz w:val="21"/>
        </w:rPr>
        <w:t>从系统设计上看，管理层 的行为都应留下可追踪记录。对于人工角色，重点是身份、部门、岗位、操作时间和业务对象；对于自动化任务，重点是触发来源、工具权限、输入参数、输出结果和失败原因。只有把角色行为和数据变更关联起来，后续的审计、统计和责任追踪才有基础。</w:t>
      </w:r>
    </w:p>
    <w:p>
      <w:pPr>
        <w:pStyle w:val="Heading3"/>
      </w:pPr>
      <w:r>
        <w:rPr>
          <w:rFonts w:ascii="Microsoft YaHei" w:hAnsi="Microsoft YaHei" w:eastAsia="Microsoft YaHei"/>
          <w:b/>
          <w:color w:val="1F4D78"/>
          <w:sz w:val="24"/>
        </w:rPr>
        <w:t>外部协作方</w:t>
      </w:r>
    </w:p>
    <w:p>
      <w:pPr>
        <w:spacing w:after="120" w:line="276" w:lineRule="auto"/>
        <w:ind w:firstLine="403"/>
      </w:pPr>
      <w:r>
        <w:rPr>
          <w:rFonts w:ascii="Microsoft YaHei" w:hAnsi="Microsoft YaHei" w:eastAsia="Microsoft YaHei"/>
          <w:sz w:val="21"/>
        </w:rPr>
        <w:t>供应商、客户或服务人员可能间接产生订单、送货单、检验报告和售后资料。当前系统主要面向内部用户，但资料来源需要保留外部主体信息。</w:t>
      </w:r>
    </w:p>
    <w:p>
      <w:pPr>
        <w:spacing w:after="120" w:line="276" w:lineRule="auto"/>
        <w:ind w:firstLine="403"/>
      </w:pPr>
      <w:r>
        <w:rPr>
          <w:rFonts w:ascii="Microsoft YaHei" w:hAnsi="Microsoft YaHei" w:eastAsia="Microsoft YaHei"/>
          <w:sz w:val="21"/>
        </w:rPr>
        <w:t>从系统设计上看，外部协作方 的行为都应留下可追踪记录。对于人工角色，重点是身份、部门、岗位、操作时间和业务对象；对于自动化任务，重点是触发来源、工具权限、输入参数、输出结果和失败原因。只有把角色行为和数据变更关联起来，后续的审计、统计和责任追踪才有基础。</w:t>
      </w:r>
    </w:p>
    <w:p>
      <w:pPr>
        <w:pStyle w:val="Heading3"/>
      </w:pPr>
      <w:r>
        <w:rPr>
          <w:rFonts w:ascii="Microsoft YaHei" w:hAnsi="Microsoft YaHei" w:eastAsia="Microsoft YaHei"/>
          <w:b/>
          <w:color w:val="1F4D78"/>
          <w:sz w:val="24"/>
        </w:rPr>
        <w:t>Agent/自动化任务</w:t>
      </w:r>
    </w:p>
    <w:p>
      <w:pPr>
        <w:spacing w:after="120" w:line="276" w:lineRule="auto"/>
        <w:ind w:firstLine="403"/>
      </w:pPr>
      <w:r>
        <w:rPr>
          <w:rFonts w:ascii="Microsoft YaHei" w:hAnsi="Microsoft YaHei" w:eastAsia="Microsoft YaHei"/>
          <w:sz w:val="21"/>
        </w:rPr>
        <w:t>在系统中应被视为特殊执行主体，而不是匿名后台逻辑。它可以读取语义、生成计划、调用工具和写入单据，但所有行为都必须留下来源、权限、参数和结果。</w:t>
      </w:r>
    </w:p>
    <w:p>
      <w:pPr>
        <w:spacing w:after="120" w:line="276" w:lineRule="auto"/>
        <w:ind w:firstLine="403"/>
      </w:pPr>
      <w:r>
        <w:rPr>
          <w:rFonts w:ascii="Microsoft YaHei" w:hAnsi="Microsoft YaHei" w:eastAsia="Microsoft YaHei"/>
          <w:sz w:val="21"/>
        </w:rPr>
        <w:t>从系统设计上看，Agent/自动化任务 的行为都应留下可追踪记录。对于人工角色，重点是身份、部门、岗位、操作时间和业务对象；对于自动化任务，重点是触发来源、工具权限、输入参数、输出结果和失败原因。只有把角色行为和数据变更关联起来，后续的审计、统计和责任追踪才有基础。</w:t>
      </w:r>
    </w:p>
    <w:p>
      <w:pPr>
        <w:pStyle w:val="Heading2"/>
      </w:pPr>
      <w:r>
        <w:rPr>
          <w:rFonts w:ascii="Microsoft YaHei" w:hAnsi="Microsoft YaHei" w:eastAsia="Microsoft YaHei"/>
          <w:b/>
          <w:color w:val="2E74B5"/>
          <w:sz w:val="26"/>
        </w:rPr>
        <w:t>19.2 端到端业务闭环</w:t>
      </w:r>
    </w:p>
    <w:p>
      <w:pPr>
        <w:spacing w:after="120" w:line="276" w:lineRule="auto"/>
        <w:ind w:firstLine="403"/>
      </w:pPr>
      <w:r>
        <w:rPr>
          <w:rFonts w:ascii="Microsoft YaHei" w:hAnsi="Microsoft YaHei" w:eastAsia="Microsoft YaHei"/>
          <w:sz w:val="21"/>
        </w:rPr>
        <w:t>端到端闭环是评估 EISCore 是否真正能支撑企业运行的关键。单个模块通过只能说明局部可用；跨模块链路通过，才能说明系统数据能流动、状态能同步、统计能解释。下面按照制造企业常见链路整理当前系统的落点和后续增强方向。</w:t>
      </w:r>
    </w:p>
    <w:p>
      <w:pPr>
        <w:pStyle w:val="Heading3"/>
      </w:pPr>
      <w:r>
        <w:rPr>
          <w:rFonts w:ascii="Microsoft YaHei" w:hAnsi="Microsoft YaHei" w:eastAsia="Microsoft YaHei"/>
          <w:b/>
          <w:color w:val="1F4D78"/>
          <w:sz w:val="24"/>
        </w:rPr>
        <w:t>销售到生产链路</w:t>
      </w:r>
    </w:p>
    <w:p>
      <w:pPr>
        <w:spacing w:after="120" w:line="276" w:lineRule="auto"/>
        <w:ind w:firstLine="403"/>
      </w:pPr>
      <w:r>
        <w:rPr>
          <w:rFonts w:ascii="Microsoft YaHei" w:hAnsi="Microsoft YaHei" w:eastAsia="Microsoft YaHei"/>
          <w:sz w:val="21"/>
        </w:rPr>
        <w:t>销售人员维护客户和商机后形成销售订单，订单中的产品、数量、交期和客户要求会向生产计划传递。系统需要把销售订单与生产建议、生产工单和库存可用量关联起来，避免销售端承诺与生产端执行脱节。</w:t>
      </w:r>
    </w:p>
    <w:p>
      <w:pPr>
        <w:spacing w:after="120" w:line="276" w:lineRule="auto"/>
        <w:ind w:firstLine="403"/>
      </w:pPr>
      <w:r>
        <w:rPr>
          <w:rFonts w:ascii="Microsoft YaHei" w:hAnsi="Microsoft YaHei" w:eastAsia="Microsoft YaHei"/>
          <w:sz w:val="21"/>
        </w:rPr>
        <w:t>当前 EISCore 已经有销售模块、生产模块、库存模块和决策模块，技术上具备建立该链路的基础。后续重点应放在订单状态、工单状态和出货状态的映射上，让管理层能够看到订单从签订到生产再到出货的进度。</w:t>
      </w:r>
    </w:p>
    <w:p>
      <w:pPr>
        <w:spacing w:after="120" w:line="276" w:lineRule="auto"/>
        <w:ind w:firstLine="403"/>
      </w:pPr>
      <w:r>
        <w:rPr>
          <w:rFonts w:ascii="Microsoft YaHei" w:hAnsi="Microsoft YaHei" w:eastAsia="Microsoft YaHei"/>
          <w:sz w:val="21"/>
        </w:rPr>
        <w:t>AI 自动入单在该链路中的作用，是把客户订单、合同附件、出货通知和回款凭证等资料转成可统计对象。系统不应只把附件存起来，而应尽量识别客户、产品、数量、日期、金额和关联单据编号。</w:t>
      </w:r>
    </w:p>
    <w:p>
      <w:pPr>
        <w:pStyle w:val="Heading3"/>
      </w:pPr>
      <w:r>
        <w:rPr>
          <w:rFonts w:ascii="Microsoft YaHei" w:hAnsi="Microsoft YaHei" w:eastAsia="Microsoft YaHei"/>
          <w:b/>
          <w:color w:val="1F4D78"/>
          <w:sz w:val="24"/>
        </w:rPr>
        <w:t>采购到入库链路</w:t>
      </w:r>
    </w:p>
    <w:p>
      <w:pPr>
        <w:spacing w:after="120" w:line="276" w:lineRule="auto"/>
        <w:ind w:firstLine="403"/>
      </w:pPr>
      <w:r>
        <w:rPr>
          <w:rFonts w:ascii="Microsoft YaHei" w:hAnsi="Microsoft YaHei" w:eastAsia="Microsoft YaHei"/>
          <w:sz w:val="21"/>
        </w:rPr>
        <w:t>采购人员根据生产需求或库存预警形成采购需求和采购订单，供应商到货后进入仓储入库，必要时经过质量检验。这个链路同时影响库存、成本、交期和供应商绩效。</w:t>
      </w:r>
    </w:p>
    <w:p>
      <w:pPr>
        <w:spacing w:after="120" w:line="276" w:lineRule="auto"/>
        <w:ind w:firstLine="403"/>
      </w:pPr>
      <w:r>
        <w:rPr>
          <w:rFonts w:ascii="Microsoft YaHei" w:hAnsi="Microsoft YaHei" w:eastAsia="Microsoft YaHei"/>
          <w:sz w:val="21"/>
        </w:rPr>
        <w:t>当前库存 RPC 和采购模块为该链路提供了良好基础。采购入库类单据结构相对明确，供应商、物料、数量、批次、日期和单号通常可以从送货单或入库单中识别，是第一阶段智能收单非常适合验证的业务场景。</w:t>
      </w:r>
    </w:p>
    <w:p>
      <w:pPr>
        <w:spacing w:after="120" w:line="276" w:lineRule="auto"/>
        <w:ind w:firstLine="403"/>
      </w:pPr>
      <w:r>
        <w:rPr>
          <w:rFonts w:ascii="Microsoft YaHei" w:hAnsi="Microsoft YaHei" w:eastAsia="Microsoft YaHei"/>
          <w:sz w:val="21"/>
        </w:rPr>
        <w:t>系统入库时应避免直接插入库存表，而是调用 stock_in 或受控业务接口。这样采购端、仓储端、质量端和统计端看到的库存变化才是一致的，也便于后续撤销、调整或审核。</w:t>
      </w:r>
    </w:p>
    <w:p>
      <w:pPr>
        <w:pStyle w:val="Heading3"/>
      </w:pPr>
      <w:r>
        <w:rPr>
          <w:rFonts w:ascii="Microsoft YaHei" w:hAnsi="Microsoft YaHei" w:eastAsia="Microsoft YaHei"/>
          <w:b/>
          <w:color w:val="1F4D78"/>
          <w:sz w:val="24"/>
        </w:rPr>
        <w:t>生产执行链路</w:t>
      </w:r>
    </w:p>
    <w:p>
      <w:pPr>
        <w:spacing w:after="120" w:line="276" w:lineRule="auto"/>
        <w:ind w:firstLine="403"/>
      </w:pPr>
      <w:r>
        <w:rPr>
          <w:rFonts w:ascii="Microsoft YaHei" w:hAnsi="Microsoft YaHei" w:eastAsia="Microsoft YaHei"/>
          <w:sz w:val="21"/>
        </w:rPr>
        <w:t>生产计划形成工单后，车间需要领料、执行、报工、异常反馈和完工。这个过程涉及物料消耗、产出、设备、人员和质量记录，是制造企业数据最复杂的部分。</w:t>
      </w:r>
    </w:p>
    <w:p>
      <w:pPr>
        <w:spacing w:after="120" w:line="276" w:lineRule="auto"/>
        <w:ind w:firstLine="403"/>
      </w:pPr>
      <w:r>
        <w:rPr>
          <w:rFonts w:ascii="Microsoft YaHei" w:hAnsi="Microsoft YaHei" w:eastAsia="Microsoft YaHei"/>
          <w:sz w:val="21"/>
        </w:rPr>
        <w:t>EISCore 当前有 BOM、生产建议、生产工单、领料齐套和生产总览等能力。后续要让生产链路更加稳健，需要进一步明确工单状态、领料状态、完工状态和异常状态之间的关系，并把移动端现场确认纳入流程。</w:t>
      </w:r>
    </w:p>
    <w:p>
      <w:pPr>
        <w:spacing w:after="120" w:line="276" w:lineRule="auto"/>
        <w:ind w:firstLine="403"/>
      </w:pPr>
      <w:r>
        <w:rPr>
          <w:rFonts w:ascii="Microsoft YaHei" w:hAnsi="Microsoft YaHei" w:eastAsia="Microsoft YaHei"/>
          <w:sz w:val="21"/>
        </w:rPr>
        <w:t>AI 自动入单在生产链路中应循序渐进。生产日报、报工表和领料单格式差异大，适合先把识别结果作为草稿或备注入库，再逐步沉淀企业模板和字段语义。对低置信度记录，必须要求人工复核后再影响正式产量统计。</w:t>
      </w:r>
    </w:p>
    <w:p>
      <w:pPr>
        <w:pStyle w:val="Heading3"/>
      </w:pPr>
      <w:r>
        <w:rPr>
          <w:rFonts w:ascii="Microsoft YaHei" w:hAnsi="Microsoft YaHei" w:eastAsia="Microsoft YaHei"/>
          <w:b/>
          <w:color w:val="1F4D78"/>
          <w:sz w:val="24"/>
        </w:rPr>
        <w:t>质量闭环链路</w:t>
      </w:r>
    </w:p>
    <w:p>
      <w:pPr>
        <w:spacing w:after="120" w:line="276" w:lineRule="auto"/>
        <w:ind w:firstLine="403"/>
      </w:pPr>
      <w:r>
        <w:rPr>
          <w:rFonts w:ascii="Microsoft YaHei" w:hAnsi="Microsoft YaHei" w:eastAsia="Microsoft YaHei"/>
          <w:sz w:val="21"/>
        </w:rPr>
        <w:t>质量管理从检验标准开始，经过来料检验、过程检验、成品检验、异常登记、原因分析、整改任务和验证关闭。其关键是证据、责任、时效和闭环状态。</w:t>
      </w:r>
    </w:p>
    <w:p>
      <w:pPr>
        <w:spacing w:after="120" w:line="276" w:lineRule="auto"/>
        <w:ind w:firstLine="403"/>
      </w:pPr>
      <w:r>
        <w:rPr>
          <w:rFonts w:ascii="Microsoft YaHei" w:hAnsi="Microsoft YaHei" w:eastAsia="Microsoft YaHei"/>
          <w:sz w:val="21"/>
        </w:rPr>
        <w:t>质量模块与工作流结合后，可以把 NCR 和整改任务从静态台账转成待办流程。每次状态变化都应形成事件，关联原始检验报告、图片、责任部门和验证结果。</w:t>
      </w:r>
    </w:p>
    <w:p>
      <w:pPr>
        <w:spacing w:after="120" w:line="276" w:lineRule="auto"/>
        <w:ind w:firstLine="403"/>
      </w:pPr>
      <w:r>
        <w:rPr>
          <w:rFonts w:ascii="Microsoft YaHei" w:hAnsi="Microsoft YaHei" w:eastAsia="Microsoft YaHei"/>
          <w:sz w:val="21"/>
        </w:rPr>
        <w:t>质量资料经常包含图片、手写签名、检验项目和结论。AI 入单时应优先提取样品编号、批次、检验结论、不合格项和整改要求；无法结构化的描述保留在备注，并标明来自原始资料的哪一部分。</w:t>
      </w:r>
    </w:p>
    <w:p>
      <w:pPr>
        <w:pStyle w:val="Heading3"/>
      </w:pPr>
      <w:r>
        <w:rPr>
          <w:rFonts w:ascii="Microsoft YaHei" w:hAnsi="Microsoft YaHei" w:eastAsia="Microsoft YaHei"/>
          <w:b/>
          <w:color w:val="1F4D78"/>
          <w:sz w:val="24"/>
        </w:rPr>
        <w:t>设备维保链路</w:t>
      </w:r>
    </w:p>
    <w:p>
      <w:pPr>
        <w:spacing w:after="120" w:line="276" w:lineRule="auto"/>
        <w:ind w:firstLine="403"/>
      </w:pPr>
      <w:r>
        <w:rPr>
          <w:rFonts w:ascii="Microsoft YaHei" w:hAnsi="Microsoft YaHei" w:eastAsia="Microsoft YaHei"/>
          <w:sz w:val="21"/>
        </w:rPr>
        <w:t>设备管理从台账和保养标准开始，经过点检计划、点检记录、异常上报、维保工单、维修完成和效果确认。设备状态会影响生产效率和质量稳定性。</w:t>
      </w:r>
    </w:p>
    <w:p>
      <w:pPr>
        <w:spacing w:after="120" w:line="276" w:lineRule="auto"/>
        <w:ind w:firstLine="403"/>
      </w:pPr>
      <w:r>
        <w:rPr>
          <w:rFonts w:ascii="Microsoft YaHei" w:hAnsi="Microsoft YaHei" w:eastAsia="Microsoft YaHei"/>
          <w:sz w:val="21"/>
        </w:rPr>
        <w:t>当前设备模块已经覆盖台账、点检、异常和维保工单。后续可以把移动端扫码点检和采集端资料入库结合起来：日常点检由移动端完成，历史纸质点检表或维修单由采集端识别补录。</w:t>
      </w:r>
    </w:p>
    <w:p>
      <w:pPr>
        <w:spacing w:after="120" w:line="276" w:lineRule="auto"/>
        <w:ind w:firstLine="403"/>
      </w:pPr>
      <w:r>
        <w:rPr>
          <w:rFonts w:ascii="Microsoft YaHei" w:hAnsi="Microsoft YaHei" w:eastAsia="Microsoft YaHei"/>
          <w:sz w:val="21"/>
        </w:rPr>
        <w:t>设备资料自动识别时，系统应重点识别设备编号、点检项目、异常描述、停机时间、维修人、维修结果和下次保养日期。若无法匹配设备主数据，应生成待处理记录，而不是强行写入错误设备。</w:t>
      </w:r>
    </w:p>
    <w:p>
      <w:pPr>
        <w:pStyle w:val="Heading3"/>
      </w:pPr>
      <w:r>
        <w:rPr>
          <w:rFonts w:ascii="Microsoft YaHei" w:hAnsi="Microsoft YaHei" w:eastAsia="Microsoft YaHei"/>
          <w:b/>
          <w:color w:val="1F4D78"/>
          <w:sz w:val="24"/>
        </w:rPr>
        <w:t>动态应用链路</w:t>
      </w:r>
    </w:p>
    <w:p>
      <w:pPr>
        <w:spacing w:after="120" w:line="276" w:lineRule="auto"/>
        <w:ind w:firstLine="403"/>
      </w:pPr>
      <w:r>
        <w:rPr>
          <w:rFonts w:ascii="Microsoft YaHei" w:hAnsi="Microsoft YaHei" w:eastAsia="Microsoft YaHei"/>
          <w:sz w:val="21"/>
        </w:rPr>
        <w:t>企业现场常有标准模块无法覆盖的临时台账，例如临时检验记录、客户特殊要求、外协加工跟踪、项目问题清单或内部改善任务。动态应用为这些场景提供低代码式承载。</w:t>
      </w:r>
    </w:p>
    <w:p>
      <w:pPr>
        <w:spacing w:after="120" w:line="276" w:lineRule="auto"/>
        <w:ind w:firstLine="403"/>
      </w:pPr>
      <w:r>
        <w:rPr>
          <w:rFonts w:ascii="Microsoft YaHei" w:hAnsi="Microsoft YaHei" w:eastAsia="Microsoft YaHei"/>
          <w:sz w:val="21"/>
        </w:rPr>
        <w:t>动态应用的价值在于快速适配，但风险在于字段和口径失控。每个动态表都应有业务域、负责人、字段语义、权限规则和统计口径，否则时间一长会形成新的数据孤岛。</w:t>
      </w:r>
    </w:p>
    <w:p>
      <w:pPr>
        <w:spacing w:after="120" w:line="276" w:lineRule="auto"/>
        <w:ind w:firstLine="403"/>
      </w:pPr>
      <w:r>
        <w:rPr>
          <w:rFonts w:ascii="Microsoft YaHei" w:hAnsi="Microsoft YaHei" w:eastAsia="Microsoft YaHei"/>
          <w:sz w:val="21"/>
        </w:rPr>
        <w:t>AI 自动入单遇到无法归入固定模块的资料时，可以先进入动态应用或资料台账。系统应保存未匹配字段，供管理员判断是否新增正式字段、合并同义字段或建立新的单据类型。</w:t>
      </w:r>
    </w:p>
    <w:p>
      <w:pPr>
        <w:pStyle w:val="Heading3"/>
      </w:pPr>
      <w:r>
        <w:rPr>
          <w:rFonts w:ascii="Microsoft YaHei" w:hAnsi="Microsoft YaHei" w:eastAsia="Microsoft YaHei"/>
          <w:b/>
          <w:color w:val="1F4D78"/>
          <w:sz w:val="24"/>
        </w:rPr>
        <w:t>管理决策链路</w:t>
      </w:r>
    </w:p>
    <w:p>
      <w:pPr>
        <w:spacing w:after="120" w:line="276" w:lineRule="auto"/>
        <w:ind w:firstLine="403"/>
      </w:pPr>
      <w:r>
        <w:rPr>
          <w:rFonts w:ascii="Microsoft YaHei" w:hAnsi="Microsoft YaHei" w:eastAsia="Microsoft YaHei"/>
          <w:sz w:val="21"/>
        </w:rPr>
        <w:t>管理层看的是跨模块结果，而不是单个页面。销售额、订单交付率、库存周转、采购到货及时率、生产完成率、质量不良率、设备故障率和回款情况，都依赖底层单据的准确性。</w:t>
      </w:r>
    </w:p>
    <w:p>
      <w:pPr>
        <w:spacing w:after="120" w:line="276" w:lineRule="auto"/>
        <w:ind w:firstLine="403"/>
      </w:pPr>
      <w:r>
        <w:rPr>
          <w:rFonts w:ascii="Microsoft YaHei" w:hAnsi="Microsoft YaHei" w:eastAsia="Microsoft YaHei"/>
          <w:sz w:val="21"/>
        </w:rPr>
        <w:t>决策支持和 Smart BI 可以提高管理层获取信息的效率，但不能替代数据治理。系统必须让每个指标有来源、计算口径、统计范围和更新时间，尤其是区分已审核数据和 AI 自动生成未复核数据。</w:t>
      </w:r>
    </w:p>
    <w:p>
      <w:pPr>
        <w:spacing w:after="120" w:line="276" w:lineRule="auto"/>
        <w:ind w:firstLine="403"/>
      </w:pPr>
      <w:r>
        <w:rPr>
          <w:rFonts w:ascii="Microsoft YaHei" w:hAnsi="Microsoft YaHei" w:eastAsia="Microsoft YaHei"/>
          <w:sz w:val="21"/>
        </w:rPr>
        <w:t>当自动入单能力扩大后，管理驾驶舱应提供数据来源筛选。例如只看已审核正式数据、包含 AI 草稿数据、包含低置信度待复核数据三种口径，避免同一张图在不同管理会议中产生口径争议。</w:t>
      </w:r>
    </w:p>
    <w:p>
      <w:pPr>
        <w:pStyle w:val="Heading2"/>
      </w:pPr>
      <w:r>
        <w:rPr>
          <w:rFonts w:ascii="Microsoft YaHei" w:hAnsi="Microsoft YaHei" w:eastAsia="Microsoft YaHei"/>
          <w:b/>
          <w:color w:val="2E74B5"/>
          <w:sz w:val="26"/>
        </w:rPr>
        <w:t>19.3 智能收单落地场景拆解</w:t>
      </w:r>
    </w:p>
    <w:p>
      <w:pPr>
        <w:spacing w:after="120" w:line="276" w:lineRule="auto"/>
        <w:ind w:firstLine="403"/>
      </w:pPr>
      <w:r>
        <w:rPr>
          <w:rFonts w:ascii="Microsoft YaHei" w:hAnsi="Microsoft YaHei" w:eastAsia="Microsoft YaHei"/>
          <w:sz w:val="21"/>
        </w:rPr>
        <w:t>智能收单的难点不是“能不能识别文字”，而是资料类型、业务单据、目标表、字段映射、主数据匹配、单据数量和复核策略之间的组合爆炸。因此第一阶段不宜一次性覆盖所有资料，而应从高频、结构相对稳定、错误可纠正、业务价值明确的场景开始。下面列出适合纳入模板库或后续需求池的场景。</w:t>
      </w:r>
    </w:p>
    <w:p>
      <w:pPr>
        <w:pStyle w:val="Heading3"/>
      </w:pPr>
      <w:r>
        <w:rPr>
          <w:rFonts w:ascii="Microsoft YaHei" w:hAnsi="Microsoft YaHei" w:eastAsia="Microsoft YaHei"/>
          <w:b/>
          <w:color w:val="1F4D78"/>
          <w:sz w:val="24"/>
        </w:rPr>
        <w:t>供应商送货单识别</w:t>
      </w:r>
    </w:p>
    <w:p>
      <w:pPr>
        <w:spacing w:after="120" w:line="276" w:lineRule="auto"/>
        <w:ind w:firstLine="403"/>
      </w:pPr>
      <w:r>
        <w:rPr>
          <w:rFonts w:ascii="Microsoft YaHei" w:hAnsi="Microsoft YaHei" w:eastAsia="Microsoft YaHei"/>
          <w:sz w:val="21"/>
        </w:rPr>
        <w:t>资料来源通常是 PDF、图片或 Excel，目标可能是采购到货或采购入库。关键字段包括供应商、送货单号、物料名称、规格、数量、批次、日期和经办人。该场景结构稳定、业务价值高，适合作为智能收单第一批模板。</w:t>
      </w:r>
    </w:p>
    <w:p>
      <w:pPr>
        <w:spacing w:after="120" w:line="276" w:lineRule="auto"/>
        <w:ind w:firstLine="403"/>
      </w:pPr>
      <w:r>
        <w:rPr>
          <w:rFonts w:ascii="Microsoft YaHei" w:hAnsi="Microsoft YaHei" w:eastAsia="Microsoft YaHei"/>
          <w:sz w:val="21"/>
        </w:rPr>
        <w:t>该场景落地时应至少保存原始资料、解析文本、字段映射、置信度、目标业务对象和人工修正记录。若字段当前不存在，默认写入备注并标明来源；若主数据无法匹配，则进入待处理而不是直接创建错误数据。这一策略能让系统在准确率逐步提升之前先安全运行。</w:t>
      </w:r>
    </w:p>
    <w:p>
      <w:pPr>
        <w:pStyle w:val="Heading3"/>
      </w:pPr>
      <w:r>
        <w:rPr>
          <w:rFonts w:ascii="Microsoft YaHei" w:hAnsi="Microsoft YaHei" w:eastAsia="Microsoft YaHei"/>
          <w:b/>
          <w:color w:val="1F4D78"/>
          <w:sz w:val="24"/>
        </w:rPr>
        <w:t>采购入库单识别</w:t>
      </w:r>
    </w:p>
    <w:p>
      <w:pPr>
        <w:spacing w:after="120" w:line="276" w:lineRule="auto"/>
        <w:ind w:firstLine="403"/>
      </w:pPr>
      <w:r>
        <w:rPr>
          <w:rFonts w:ascii="Microsoft YaHei" w:hAnsi="Microsoft YaHei" w:eastAsia="Microsoft YaHei"/>
          <w:sz w:val="21"/>
        </w:rPr>
        <w:t>目标是生成库存入库相关业务记录。系统应优先走库存入库 RPC，并保留采购订单、供应商和原始资料链接。若物料主数据无法匹配，应生成待处理项，不能随意创建库存。</w:t>
      </w:r>
    </w:p>
    <w:p>
      <w:pPr>
        <w:spacing w:after="120" w:line="276" w:lineRule="auto"/>
        <w:ind w:firstLine="403"/>
      </w:pPr>
      <w:r>
        <w:rPr>
          <w:rFonts w:ascii="Microsoft YaHei" w:hAnsi="Microsoft YaHei" w:eastAsia="Microsoft YaHei"/>
          <w:sz w:val="21"/>
        </w:rPr>
        <w:t>该场景落地时应至少保存原始资料、解析文本、字段映射、置信度、目标业务对象和人工修正记录。若字段当前不存在，默认写入备注并标明来源；若主数据无法匹配，则进入待处理而不是直接创建错误数据。这一策略能让系统在准确率逐步提升之前先安全运行。</w:t>
      </w:r>
    </w:p>
    <w:p>
      <w:pPr>
        <w:pStyle w:val="Heading3"/>
      </w:pPr>
      <w:r>
        <w:rPr>
          <w:rFonts w:ascii="Microsoft YaHei" w:hAnsi="Microsoft YaHei" w:eastAsia="Microsoft YaHei"/>
          <w:b/>
          <w:color w:val="1F4D78"/>
          <w:sz w:val="24"/>
        </w:rPr>
        <w:t>生产日报识别</w:t>
      </w:r>
    </w:p>
    <w:p>
      <w:pPr>
        <w:spacing w:after="120" w:line="276" w:lineRule="auto"/>
        <w:ind w:firstLine="403"/>
      </w:pPr>
      <w:r>
        <w:rPr>
          <w:rFonts w:ascii="Microsoft YaHei" w:hAnsi="Microsoft YaHei" w:eastAsia="Microsoft YaHei"/>
          <w:sz w:val="21"/>
        </w:rPr>
        <w:t>日报可能包含多个班组、多条工单和多个产品数量，系统需要判断一份资料中是否包含多张业务单据。初期建议生成生产记录草稿，低置信度字段进入备注和复核。</w:t>
      </w:r>
    </w:p>
    <w:p>
      <w:pPr>
        <w:spacing w:after="120" w:line="276" w:lineRule="auto"/>
        <w:ind w:firstLine="403"/>
      </w:pPr>
      <w:r>
        <w:rPr>
          <w:rFonts w:ascii="Microsoft YaHei" w:hAnsi="Microsoft YaHei" w:eastAsia="Microsoft YaHei"/>
          <w:sz w:val="21"/>
        </w:rPr>
        <w:t>该场景落地时应至少保存原始资料、解析文本、字段映射、置信度、目标业务对象和人工修正记录。若字段当前不存在，默认写入备注并标明来源；若主数据无法匹配，则进入待处理而不是直接创建错误数据。这一策略能让系统在准确率逐步提升之前先安全运行。</w:t>
      </w:r>
    </w:p>
    <w:p>
      <w:pPr>
        <w:pStyle w:val="Heading3"/>
      </w:pPr>
      <w:r>
        <w:rPr>
          <w:rFonts w:ascii="Microsoft YaHei" w:hAnsi="Microsoft YaHei" w:eastAsia="Microsoft YaHei"/>
          <w:b/>
          <w:color w:val="1F4D78"/>
          <w:sz w:val="24"/>
        </w:rPr>
        <w:t>质量检验报告识别</w:t>
      </w:r>
    </w:p>
    <w:p>
      <w:pPr>
        <w:spacing w:after="120" w:line="276" w:lineRule="auto"/>
        <w:ind w:firstLine="403"/>
      </w:pPr>
      <w:r>
        <w:rPr>
          <w:rFonts w:ascii="Microsoft YaHei" w:hAnsi="Microsoft YaHei" w:eastAsia="Microsoft YaHei"/>
          <w:sz w:val="21"/>
        </w:rPr>
        <w:t>资料可能包含表格、图片和检验结论。系统应识别批次、检验项目、结果、判定和异常项，并保留原始报告作为证据。质量结论影响业务状态，建议默认进入待审核。</w:t>
      </w:r>
    </w:p>
    <w:p>
      <w:pPr>
        <w:spacing w:after="120" w:line="276" w:lineRule="auto"/>
        <w:ind w:firstLine="403"/>
      </w:pPr>
      <w:r>
        <w:rPr>
          <w:rFonts w:ascii="Microsoft YaHei" w:hAnsi="Microsoft YaHei" w:eastAsia="Microsoft YaHei"/>
          <w:sz w:val="21"/>
        </w:rPr>
        <w:t>该场景落地时应至少保存原始资料、解析文本、字段映射、置信度、目标业务对象和人工修正记录。若字段当前不存在，默认写入备注并标明来源；若主数据无法匹配，则进入待处理而不是直接创建错误数据。这一策略能让系统在准确率逐步提升之前先安全运行。</w:t>
      </w:r>
    </w:p>
    <w:p>
      <w:pPr>
        <w:pStyle w:val="Heading3"/>
      </w:pPr>
      <w:r>
        <w:rPr>
          <w:rFonts w:ascii="Microsoft YaHei" w:hAnsi="Microsoft YaHei" w:eastAsia="Microsoft YaHei"/>
          <w:b/>
          <w:color w:val="1F4D78"/>
          <w:sz w:val="24"/>
        </w:rPr>
        <w:t>设备点检表识别</w:t>
      </w:r>
    </w:p>
    <w:p>
      <w:pPr>
        <w:spacing w:after="120" w:line="276" w:lineRule="auto"/>
        <w:ind w:firstLine="403"/>
      </w:pPr>
      <w:r>
        <w:rPr>
          <w:rFonts w:ascii="Microsoft YaHei" w:hAnsi="Microsoft YaHei" w:eastAsia="Microsoft YaHei"/>
          <w:sz w:val="21"/>
        </w:rPr>
        <w:t>资料通常与设备编号、点检项目、点检结果和异常说明有关。字段不完整时可以先创建点检草稿或异常提醒，后续由设备人员确认。</w:t>
      </w:r>
    </w:p>
    <w:p>
      <w:pPr>
        <w:spacing w:after="120" w:line="276" w:lineRule="auto"/>
        <w:ind w:firstLine="403"/>
      </w:pPr>
      <w:r>
        <w:rPr>
          <w:rFonts w:ascii="Microsoft YaHei" w:hAnsi="Microsoft YaHei" w:eastAsia="Microsoft YaHei"/>
          <w:sz w:val="21"/>
        </w:rPr>
        <w:t>该场景落地时应至少保存原始资料、解析文本、字段映射、置信度、目标业务对象和人工修正记录。若字段当前不存在，默认写入备注并标明来源；若主数据无法匹配，则进入待处理而不是直接创建错误数据。这一策略能让系统在准确率逐步提升之前先安全运行。</w:t>
      </w:r>
    </w:p>
    <w:p>
      <w:pPr>
        <w:pStyle w:val="Heading3"/>
      </w:pPr>
      <w:r>
        <w:rPr>
          <w:rFonts w:ascii="Microsoft YaHei" w:hAnsi="Microsoft YaHei" w:eastAsia="Microsoft YaHei"/>
          <w:b/>
          <w:color w:val="1F4D78"/>
          <w:sz w:val="24"/>
        </w:rPr>
        <w:t>销售订单附件识别</w:t>
      </w:r>
    </w:p>
    <w:p>
      <w:pPr>
        <w:spacing w:after="120" w:line="276" w:lineRule="auto"/>
        <w:ind w:firstLine="403"/>
      </w:pPr>
      <w:r>
        <w:rPr>
          <w:rFonts w:ascii="Microsoft YaHei" w:hAnsi="Microsoft YaHei" w:eastAsia="Microsoft YaHei"/>
          <w:sz w:val="21"/>
        </w:rPr>
        <w:t>客户订单和合同可能跨页、金额字段复杂。系统应识别客户、产品、数量、交期、金额和付款条款，初期更适合作为销售订单草稿或附件增强，而不是直接生效。</w:t>
      </w:r>
    </w:p>
    <w:p>
      <w:pPr>
        <w:spacing w:after="120" w:line="276" w:lineRule="auto"/>
        <w:ind w:firstLine="403"/>
      </w:pPr>
      <w:r>
        <w:rPr>
          <w:rFonts w:ascii="Microsoft YaHei" w:hAnsi="Microsoft YaHei" w:eastAsia="Microsoft YaHei"/>
          <w:sz w:val="21"/>
        </w:rPr>
        <w:t>该场景落地时应至少保存原始资料、解析文本、字段映射、置信度、目标业务对象和人工修正记录。若字段当前不存在，默认写入备注并标明来源；若主数据无法匹配，则进入待处理而不是直接创建错误数据。这一策略能让系统在准确率逐步提升之前先安全运行。</w:t>
      </w:r>
    </w:p>
    <w:p>
      <w:pPr>
        <w:pStyle w:val="Heading3"/>
      </w:pPr>
      <w:r>
        <w:rPr>
          <w:rFonts w:ascii="Microsoft YaHei" w:hAnsi="Microsoft YaHei" w:eastAsia="Microsoft YaHei"/>
          <w:b/>
          <w:color w:val="1F4D78"/>
          <w:sz w:val="24"/>
        </w:rPr>
        <w:t>回款凭证识别</w:t>
      </w:r>
    </w:p>
    <w:p>
      <w:pPr>
        <w:spacing w:after="120" w:line="276" w:lineRule="auto"/>
        <w:ind w:firstLine="403"/>
      </w:pPr>
      <w:r>
        <w:rPr>
          <w:rFonts w:ascii="Microsoft YaHei" w:hAnsi="Microsoft YaHei" w:eastAsia="Microsoft YaHei"/>
          <w:sz w:val="21"/>
        </w:rPr>
        <w:t>图片或截图中可能包含付款方、金额、日期和银行流水。此类资料涉及财务敏感信息，自动入库前应严格权限控制和人工复核。</w:t>
      </w:r>
    </w:p>
    <w:p>
      <w:pPr>
        <w:spacing w:after="120" w:line="276" w:lineRule="auto"/>
        <w:ind w:firstLine="403"/>
      </w:pPr>
      <w:r>
        <w:rPr>
          <w:rFonts w:ascii="Microsoft YaHei" w:hAnsi="Microsoft YaHei" w:eastAsia="Microsoft YaHei"/>
          <w:sz w:val="21"/>
        </w:rPr>
        <w:t>该场景落地时应至少保存原始资料、解析文本、字段映射、置信度、目标业务对象和人工修正记录。若字段当前不存在，默认写入备注并标明来源；若主数据无法匹配，则进入待处理而不是直接创建错误数据。这一策略能让系统在准确率逐步提升之前先安全运行。</w:t>
      </w:r>
    </w:p>
    <w:p>
      <w:pPr>
        <w:pStyle w:val="Heading3"/>
      </w:pPr>
      <w:r>
        <w:rPr>
          <w:rFonts w:ascii="Microsoft YaHei" w:hAnsi="Microsoft YaHei" w:eastAsia="Microsoft YaHei"/>
          <w:b/>
          <w:color w:val="1F4D78"/>
          <w:sz w:val="24"/>
        </w:rPr>
        <w:t>库存盘点表识别</w:t>
      </w:r>
    </w:p>
    <w:p>
      <w:pPr>
        <w:spacing w:after="120" w:line="276" w:lineRule="auto"/>
        <w:ind w:firstLine="403"/>
      </w:pPr>
      <w:r>
        <w:rPr>
          <w:rFonts w:ascii="Microsoft YaHei" w:hAnsi="Microsoft YaHei" w:eastAsia="Microsoft YaHei"/>
          <w:sz w:val="21"/>
        </w:rPr>
        <w:t>Excel 或纸质盘点表可转为盘点任务或盘点差异。由于盘点会影响库存账实差异，系统应将 AI 结果作为盘点草稿，经过确认后再调整库存。</w:t>
      </w:r>
    </w:p>
    <w:p>
      <w:pPr>
        <w:spacing w:after="120" w:line="276" w:lineRule="auto"/>
        <w:ind w:firstLine="403"/>
      </w:pPr>
      <w:r>
        <w:rPr>
          <w:rFonts w:ascii="Microsoft YaHei" w:hAnsi="Microsoft YaHei" w:eastAsia="Microsoft YaHei"/>
          <w:sz w:val="21"/>
        </w:rPr>
        <w:t>该场景落地时应至少保存原始资料、解析文本、字段映射、置信度、目标业务对象和人工修正记录。若字段当前不存在，默认写入备注并标明来源；若主数据无法匹配，则进入待处理而不是直接创建错误数据。这一策略能让系统在准确率逐步提升之前先安全运行。</w:t>
      </w:r>
    </w:p>
    <w:p>
      <w:pPr>
        <w:pStyle w:val="Heading3"/>
      </w:pPr>
      <w:r>
        <w:rPr>
          <w:rFonts w:ascii="Microsoft YaHei" w:hAnsi="Microsoft YaHei" w:eastAsia="Microsoft YaHei"/>
          <w:b/>
          <w:color w:val="1F4D78"/>
          <w:sz w:val="24"/>
        </w:rPr>
        <w:t>员工考勤表识别</w:t>
      </w:r>
    </w:p>
    <w:p>
      <w:pPr>
        <w:spacing w:after="120" w:line="276" w:lineRule="auto"/>
        <w:ind w:firstLine="403"/>
      </w:pPr>
      <w:r>
        <w:rPr>
          <w:rFonts w:ascii="Microsoft YaHei" w:hAnsi="Microsoft YaHei" w:eastAsia="Microsoft YaHei"/>
          <w:sz w:val="21"/>
        </w:rPr>
        <w:t>考勤数据与人事和工资相关，敏感性高。若后续纳入，应优先保证上传人、部门、日期和人员匹配准确，并配套字段权限和导入审计。</w:t>
      </w:r>
    </w:p>
    <w:p>
      <w:pPr>
        <w:spacing w:after="120" w:line="276" w:lineRule="auto"/>
        <w:ind w:firstLine="403"/>
      </w:pPr>
      <w:r>
        <w:rPr>
          <w:rFonts w:ascii="Microsoft YaHei" w:hAnsi="Microsoft YaHei" w:eastAsia="Microsoft YaHei"/>
          <w:sz w:val="21"/>
        </w:rPr>
        <w:t>该场景落地时应至少保存原始资料、解析文本、字段映射、置信度、目标业务对象和人工修正记录。若字段当前不存在，默认写入备注并标明来源；若主数据无法匹配，则进入待处理而不是直接创建错误数据。这一策略能让系统在准确率逐步提升之前先安全运行。</w:t>
      </w:r>
    </w:p>
    <w:p>
      <w:pPr>
        <w:pStyle w:val="Heading3"/>
      </w:pPr>
      <w:r>
        <w:rPr>
          <w:rFonts w:ascii="Microsoft YaHei" w:hAnsi="Microsoft YaHei" w:eastAsia="Microsoft YaHei"/>
          <w:b/>
          <w:color w:val="1F4D78"/>
          <w:sz w:val="24"/>
        </w:rPr>
        <w:t>客户特殊要求识别</w:t>
      </w:r>
    </w:p>
    <w:p>
      <w:pPr>
        <w:spacing w:after="120" w:line="276" w:lineRule="auto"/>
        <w:ind w:firstLine="403"/>
      </w:pPr>
      <w:r>
        <w:rPr>
          <w:rFonts w:ascii="Microsoft YaHei" w:hAnsi="Microsoft YaHei" w:eastAsia="Microsoft YaHei"/>
          <w:sz w:val="21"/>
        </w:rPr>
        <w:t>这类资料可能无法归入固定表，适合写入动态应用或项目要求台账。系统应保留原文、识别出的要求点、关联客户和责任部门，供后续实施或生产执行参考。</w:t>
      </w:r>
    </w:p>
    <w:p>
      <w:pPr>
        <w:spacing w:after="120" w:line="276" w:lineRule="auto"/>
        <w:ind w:firstLine="403"/>
      </w:pPr>
      <w:r>
        <w:rPr>
          <w:rFonts w:ascii="Microsoft YaHei" w:hAnsi="Microsoft YaHei" w:eastAsia="Microsoft YaHei"/>
          <w:sz w:val="21"/>
        </w:rPr>
        <w:t>该场景落地时应至少保存原始资料、解析文本、字段映射、置信度、目标业务对象和人工修正记录。若字段当前不存在，默认写入备注并标明来源；若主数据无法匹配，则进入待处理而不是直接创建错误数据。这一策略能让系统在准确率逐步提升之前先安全运行。</w:t>
      </w:r>
    </w:p>
    <w:p>
      <w:pPr>
        <w:pStyle w:val="Heading2"/>
      </w:pPr>
      <w:r>
        <w:rPr>
          <w:rFonts w:ascii="Microsoft YaHei" w:hAnsi="Microsoft YaHei" w:eastAsia="Microsoft YaHei"/>
          <w:b/>
          <w:color w:val="2E74B5"/>
          <w:sz w:val="26"/>
        </w:rPr>
        <w:t>19.4 第二阶段交付方法与 Agent 贯标</w:t>
      </w:r>
    </w:p>
    <w:p>
      <w:pPr>
        <w:spacing w:after="120" w:line="276" w:lineRule="auto"/>
        <w:ind w:firstLine="403"/>
      </w:pPr>
      <w:r>
        <w:rPr>
          <w:rFonts w:ascii="Microsoft YaHei" w:hAnsi="Microsoft YaHei" w:eastAsia="Microsoft YaHei"/>
          <w:sz w:val="21"/>
        </w:rPr>
        <w:t>第二阶段 Agent 实施贯标运维系统的价值，在于把交付过程从个人经验驱动转为流程、模板、配置包和证据驱动。EISCore 本体越可配置，实施过程就越需要标准化；否则每个项目都靠口头沟通和临时 SQL，最终会把平台化优势消耗掉。下面按照用户提出的业务流程说明每个阶段的系统化方向。</w:t>
      </w:r>
    </w:p>
    <w:p>
      <w:pPr>
        <w:pStyle w:val="Heading3"/>
      </w:pPr>
      <w:r>
        <w:rPr>
          <w:rFonts w:ascii="Microsoft YaHei" w:hAnsi="Microsoft YaHei" w:eastAsia="Microsoft YaHei"/>
          <w:b/>
          <w:color w:val="1F4D78"/>
          <w:sz w:val="24"/>
        </w:rPr>
        <w:t>商务阶段</w:t>
      </w:r>
    </w:p>
    <w:p>
      <w:pPr>
        <w:spacing w:after="120" w:line="276" w:lineRule="auto"/>
        <w:ind w:firstLine="403"/>
      </w:pPr>
      <w:r>
        <w:rPr>
          <w:rFonts w:ascii="Microsoft YaHei" w:hAnsi="Microsoft YaHei" w:eastAsia="Microsoft YaHei"/>
          <w:sz w:val="21"/>
        </w:rPr>
        <w:t>沉淀客户基本信息、行业、规模、痛点、预算、竞争情况和决策链。第二阶段系统应让商务资料不仅形成商机记录，还能转化为后续售前和调研的关注点。</w:t>
      </w:r>
    </w:p>
    <w:p>
      <w:pPr>
        <w:spacing w:after="120" w:line="276" w:lineRule="auto"/>
        <w:ind w:firstLine="403"/>
      </w:pPr>
      <w:r>
        <w:rPr>
          <w:rFonts w:ascii="Microsoft YaHei" w:hAnsi="Microsoft YaHei" w:eastAsia="Microsoft YaHei"/>
          <w:sz w:val="21"/>
        </w:rPr>
        <w:t>在 商务阶段，Agent 应扮演辅助整理、检查和生成草案的角色，而不是无约束决策者。系统应保存输入材料、生成结果、人工确认记录和后续影响对象。这样既能提高效率，又能避免后期无法解释某个配置或承诺从何而来。</w:t>
      </w:r>
    </w:p>
    <w:p>
      <w:pPr>
        <w:pStyle w:val="Heading3"/>
      </w:pPr>
      <w:r>
        <w:rPr>
          <w:rFonts w:ascii="Microsoft YaHei" w:hAnsi="Microsoft YaHei" w:eastAsia="Microsoft YaHei"/>
          <w:b/>
          <w:color w:val="1F4D78"/>
          <w:sz w:val="24"/>
        </w:rPr>
        <w:t>售前阶段</w:t>
      </w:r>
    </w:p>
    <w:p>
      <w:pPr>
        <w:spacing w:after="120" w:line="276" w:lineRule="auto"/>
        <w:ind w:firstLine="403"/>
      </w:pPr>
      <w:r>
        <w:rPr>
          <w:rFonts w:ascii="Microsoft YaHei" w:hAnsi="Microsoft YaHei" w:eastAsia="Microsoft YaHei"/>
          <w:sz w:val="21"/>
        </w:rPr>
        <w:t>围绕客户问题形成方案、演示脚本、模块范围和风险假设。售前 Agent 可以基于 EISCore 模块能力和历史项目经验生成演示路线，但不能替代正式范围确认。</w:t>
      </w:r>
    </w:p>
    <w:p>
      <w:pPr>
        <w:spacing w:after="120" w:line="276" w:lineRule="auto"/>
        <w:ind w:firstLine="403"/>
      </w:pPr>
      <w:r>
        <w:rPr>
          <w:rFonts w:ascii="Microsoft YaHei" w:hAnsi="Microsoft YaHei" w:eastAsia="Microsoft YaHei"/>
          <w:sz w:val="21"/>
        </w:rPr>
        <w:t>在 售前阶段，Agent 应扮演辅助整理、检查和生成草案的角色，而不是无约束决策者。系统应保存输入材料、生成结果、人工确认记录和后续影响对象。这样既能提高效率，又能避免后期无法解释某个配置或承诺从何而来。</w:t>
      </w:r>
    </w:p>
    <w:p>
      <w:pPr>
        <w:pStyle w:val="Heading3"/>
      </w:pPr>
      <w:r>
        <w:rPr>
          <w:rFonts w:ascii="Microsoft YaHei" w:hAnsi="Microsoft YaHei" w:eastAsia="Microsoft YaHei"/>
          <w:b/>
          <w:color w:val="1F4D78"/>
          <w:sz w:val="24"/>
        </w:rPr>
        <w:t>调研阶段</w:t>
      </w:r>
    </w:p>
    <w:p>
      <w:pPr>
        <w:spacing w:after="120" w:line="276" w:lineRule="auto"/>
        <w:ind w:firstLine="403"/>
      </w:pPr>
      <w:r>
        <w:rPr>
          <w:rFonts w:ascii="Microsoft YaHei" w:hAnsi="Microsoft YaHei" w:eastAsia="Microsoft YaHei"/>
          <w:sz w:val="21"/>
        </w:rPr>
        <w:t>采集组织架构、岗位职责、业务流程、单据样张、字段口径和异常场景。调研结果应结构化沉淀为流程、字段、权限和资料模板，为配置包生成提供输入。</w:t>
      </w:r>
    </w:p>
    <w:p>
      <w:pPr>
        <w:spacing w:after="120" w:line="276" w:lineRule="auto"/>
        <w:ind w:firstLine="403"/>
      </w:pPr>
      <w:r>
        <w:rPr>
          <w:rFonts w:ascii="Microsoft YaHei" w:hAnsi="Microsoft YaHei" w:eastAsia="Microsoft YaHei"/>
          <w:sz w:val="21"/>
        </w:rPr>
        <w:t>在 调研阶段，Agent 应扮演辅助整理、检查和生成草案的角色，而不是无约束决策者。系统应保存输入材料、生成结果、人工确认记录和后续影响对象。这样既能提高效率，又能避免后期无法解释某个配置或承诺从何而来。</w:t>
      </w:r>
    </w:p>
    <w:p>
      <w:pPr>
        <w:pStyle w:val="Heading3"/>
      </w:pPr>
      <w:r>
        <w:rPr>
          <w:rFonts w:ascii="Microsoft YaHei" w:hAnsi="Microsoft YaHei" w:eastAsia="Microsoft YaHei"/>
          <w:b/>
          <w:color w:val="1F4D78"/>
          <w:sz w:val="24"/>
        </w:rPr>
        <w:t>合同阶段</w:t>
      </w:r>
    </w:p>
    <w:p>
      <w:pPr>
        <w:spacing w:after="120" w:line="276" w:lineRule="auto"/>
        <w:ind w:firstLine="403"/>
      </w:pPr>
      <w:r>
        <w:rPr>
          <w:rFonts w:ascii="Microsoft YaHei" w:hAnsi="Microsoft YaHei" w:eastAsia="Microsoft YaHei"/>
          <w:sz w:val="21"/>
        </w:rPr>
        <w:t>锁定交付范围、模块清单、二开边界、验收标准和维护条款。合同范围应与系统配置项建立映射，避免实施过程中范围漂移。</w:t>
      </w:r>
    </w:p>
    <w:p>
      <w:pPr>
        <w:spacing w:after="120" w:line="276" w:lineRule="auto"/>
        <w:ind w:firstLine="403"/>
      </w:pPr>
      <w:r>
        <w:rPr>
          <w:rFonts w:ascii="Microsoft YaHei" w:hAnsi="Microsoft YaHei" w:eastAsia="Microsoft YaHei"/>
          <w:sz w:val="21"/>
        </w:rPr>
        <w:t>在 合同阶段，Agent 应扮演辅助整理、检查和生成草案的角色，而不是无约束决策者。系统应保存输入材料、生成结果、人工确认记录和后续影响对象。这样既能提高效率，又能避免后期无法解释某个配置或承诺从何而来。</w:t>
      </w:r>
    </w:p>
    <w:p>
      <w:pPr>
        <w:pStyle w:val="Heading3"/>
      </w:pPr>
      <w:r>
        <w:rPr>
          <w:rFonts w:ascii="Microsoft YaHei" w:hAnsi="Microsoft YaHei" w:eastAsia="Microsoft YaHei"/>
          <w:b/>
          <w:color w:val="1F4D78"/>
          <w:sz w:val="24"/>
        </w:rPr>
        <w:t>项目立项阶段</w:t>
      </w:r>
    </w:p>
    <w:p>
      <w:pPr>
        <w:spacing w:after="120" w:line="276" w:lineRule="auto"/>
        <w:ind w:firstLine="403"/>
      </w:pPr>
      <w:r>
        <w:rPr>
          <w:rFonts w:ascii="Microsoft YaHei" w:hAnsi="Microsoft YaHei" w:eastAsia="Microsoft YaHei"/>
          <w:sz w:val="21"/>
        </w:rPr>
        <w:t>建立客户项目空间、里程碑、成员、环境、风险和交付物清单。该阶段是商务承诺向实施执行转化的关键节点。</w:t>
      </w:r>
    </w:p>
    <w:p>
      <w:pPr>
        <w:spacing w:after="120" w:line="276" w:lineRule="auto"/>
        <w:ind w:firstLine="403"/>
      </w:pPr>
      <w:r>
        <w:rPr>
          <w:rFonts w:ascii="Microsoft YaHei" w:hAnsi="Microsoft YaHei" w:eastAsia="Microsoft YaHei"/>
          <w:sz w:val="21"/>
        </w:rPr>
        <w:t>在 项目立项阶段，Agent 应扮演辅助整理、检查和生成草案的角色，而不是无约束决策者。系统应保存输入材料、生成结果、人工确认记录和后续影响对象。这样既能提高效率，又能避免后期无法解释某个配置或承诺从何而来。</w:t>
      </w:r>
    </w:p>
    <w:p>
      <w:pPr>
        <w:pStyle w:val="Heading3"/>
      </w:pPr>
      <w:r>
        <w:rPr>
          <w:rFonts w:ascii="Microsoft YaHei" w:hAnsi="Microsoft YaHei" w:eastAsia="Microsoft YaHei"/>
          <w:b/>
          <w:color w:val="1F4D78"/>
          <w:sz w:val="24"/>
        </w:rPr>
        <w:t>实施配置阶段</w:t>
      </w:r>
    </w:p>
    <w:p>
      <w:pPr>
        <w:spacing w:after="120" w:line="276" w:lineRule="auto"/>
        <w:ind w:firstLine="403"/>
      </w:pPr>
      <w:r>
        <w:rPr>
          <w:rFonts w:ascii="Microsoft YaHei" w:hAnsi="Microsoft YaHei" w:eastAsia="Microsoft YaHei"/>
          <w:sz w:val="21"/>
        </w:rPr>
        <w:t>根据调研和合同范围配置组织、角色、字段、动态应用、流程、报表和语义。配置 Agent 的价值在于生成可检查的配置包，而不是直接无审计地改系统。</w:t>
      </w:r>
    </w:p>
    <w:p>
      <w:pPr>
        <w:spacing w:after="120" w:line="276" w:lineRule="auto"/>
        <w:ind w:firstLine="403"/>
      </w:pPr>
      <w:r>
        <w:rPr>
          <w:rFonts w:ascii="Microsoft YaHei" w:hAnsi="Microsoft YaHei" w:eastAsia="Microsoft YaHei"/>
          <w:sz w:val="21"/>
        </w:rPr>
        <w:t>在 实施配置阶段，Agent 应扮演辅助整理、检查和生成草案的角色，而不是无约束决策者。系统应保存输入材料、生成结果、人工确认记录和后续影响对象。这样既能提高效率，又能避免后期无法解释某个配置或承诺从何而来。</w:t>
      </w:r>
    </w:p>
    <w:p>
      <w:pPr>
        <w:pStyle w:val="Heading3"/>
      </w:pPr>
      <w:r>
        <w:rPr>
          <w:rFonts w:ascii="Microsoft YaHei" w:hAnsi="Microsoft YaHei" w:eastAsia="Microsoft YaHei"/>
          <w:b/>
          <w:color w:val="1F4D78"/>
          <w:sz w:val="24"/>
        </w:rPr>
        <w:t>二次开发阶段</w:t>
      </w:r>
    </w:p>
    <w:p>
      <w:pPr>
        <w:spacing w:after="120" w:line="276" w:lineRule="auto"/>
        <w:ind w:firstLine="403"/>
      </w:pPr>
      <w:r>
        <w:rPr>
          <w:rFonts w:ascii="Microsoft YaHei" w:hAnsi="Microsoft YaHei" w:eastAsia="Microsoft YaHei"/>
          <w:sz w:val="21"/>
        </w:rPr>
        <w:t>管理定制页面、接口、报表和特殊规则。二开需求应与合同范围、版本、测试用例和验收项关联，避免变成口头需求堆积。</w:t>
      </w:r>
    </w:p>
    <w:p>
      <w:pPr>
        <w:spacing w:after="120" w:line="276" w:lineRule="auto"/>
        <w:ind w:firstLine="403"/>
      </w:pPr>
      <w:r>
        <w:rPr>
          <w:rFonts w:ascii="Microsoft YaHei" w:hAnsi="Microsoft YaHei" w:eastAsia="Microsoft YaHei"/>
          <w:sz w:val="21"/>
        </w:rPr>
        <w:t>在 二次开发阶段，Agent 应扮演辅助整理、检查和生成草案的角色，而不是无约束决策者。系统应保存输入材料、生成结果、人工确认记录和后续影响对象。这样既能提高效率，又能避免后期无法解释某个配置或承诺从何而来。</w:t>
      </w:r>
    </w:p>
    <w:p>
      <w:pPr>
        <w:pStyle w:val="Heading3"/>
      </w:pPr>
      <w:r>
        <w:rPr>
          <w:rFonts w:ascii="Microsoft YaHei" w:hAnsi="Microsoft YaHei" w:eastAsia="Microsoft YaHei"/>
          <w:b/>
          <w:color w:val="1F4D78"/>
          <w:sz w:val="24"/>
        </w:rPr>
        <w:t>测试联调阶段</w:t>
      </w:r>
    </w:p>
    <w:p>
      <w:pPr>
        <w:spacing w:after="120" w:line="276" w:lineRule="auto"/>
        <w:ind w:firstLine="403"/>
      </w:pPr>
      <w:r>
        <w:rPr>
          <w:rFonts w:ascii="Microsoft YaHei" w:hAnsi="Microsoft YaHei" w:eastAsia="Microsoft YaHei"/>
          <w:sz w:val="21"/>
        </w:rPr>
        <w:t>验证业务链路、权限、流程、数据导入、移动端、采集端和报表。测试结果应沉淀为证据，失败项形成问题单并关联责任人。</w:t>
      </w:r>
    </w:p>
    <w:p>
      <w:pPr>
        <w:spacing w:after="120" w:line="276" w:lineRule="auto"/>
        <w:ind w:firstLine="403"/>
      </w:pPr>
      <w:r>
        <w:rPr>
          <w:rFonts w:ascii="Microsoft YaHei" w:hAnsi="Microsoft YaHei" w:eastAsia="Microsoft YaHei"/>
          <w:sz w:val="21"/>
        </w:rPr>
        <w:t>在 测试联调阶段，Agent 应扮演辅助整理、检查和生成草案的角色，而不是无约束决策者。系统应保存输入材料、生成结果、人工确认记录和后续影响对象。这样既能提高效率，又能避免后期无法解释某个配置或承诺从何而来。</w:t>
      </w:r>
    </w:p>
    <w:p>
      <w:pPr>
        <w:pStyle w:val="Heading3"/>
      </w:pPr>
      <w:r>
        <w:rPr>
          <w:rFonts w:ascii="Microsoft YaHei" w:hAnsi="Microsoft YaHei" w:eastAsia="Microsoft YaHei"/>
          <w:b/>
          <w:color w:val="1F4D78"/>
          <w:sz w:val="24"/>
        </w:rPr>
        <w:t>验收文件阶段</w:t>
      </w:r>
    </w:p>
    <w:p>
      <w:pPr>
        <w:spacing w:after="120" w:line="276" w:lineRule="auto"/>
        <w:ind w:firstLine="403"/>
      </w:pPr>
      <w:r>
        <w:rPr>
          <w:rFonts w:ascii="Microsoft YaHei" w:hAnsi="Microsoft YaHei" w:eastAsia="Microsoft YaHei"/>
          <w:sz w:val="21"/>
        </w:rPr>
        <w:t>自动汇总配置清单、测试记录、培训记录、上线记录、问题关闭记录和用户确认材料。Agent 可以辅助生成文档，但证据来源必须可追溯。</w:t>
      </w:r>
    </w:p>
    <w:p>
      <w:pPr>
        <w:spacing w:after="120" w:line="276" w:lineRule="auto"/>
        <w:ind w:firstLine="403"/>
      </w:pPr>
      <w:r>
        <w:rPr>
          <w:rFonts w:ascii="Microsoft YaHei" w:hAnsi="Microsoft YaHei" w:eastAsia="Microsoft YaHei"/>
          <w:sz w:val="21"/>
        </w:rPr>
        <w:t>在 验收文件阶段，Agent 应扮演辅助整理、检查和生成草案的角色，而不是无约束决策者。系统应保存输入材料、生成结果、人工确认记录和后续影响对象。这样既能提高效率，又能避免后期无法解释某个配置或承诺从何而来。</w:t>
      </w:r>
    </w:p>
    <w:p>
      <w:pPr>
        <w:pStyle w:val="Heading3"/>
      </w:pPr>
      <w:r>
        <w:rPr>
          <w:rFonts w:ascii="Microsoft YaHei" w:hAnsi="Microsoft YaHei" w:eastAsia="Microsoft YaHei"/>
          <w:b/>
          <w:color w:val="1F4D78"/>
          <w:sz w:val="24"/>
        </w:rPr>
        <w:t>验收阶段</w:t>
      </w:r>
    </w:p>
    <w:p>
      <w:pPr>
        <w:spacing w:after="120" w:line="276" w:lineRule="auto"/>
        <w:ind w:firstLine="403"/>
      </w:pPr>
      <w:r>
        <w:rPr>
          <w:rFonts w:ascii="Microsoft YaHei" w:hAnsi="Microsoft YaHei" w:eastAsia="Microsoft YaHei"/>
          <w:sz w:val="21"/>
        </w:rPr>
        <w:t>围绕合同范围和验收标准确认系统已达到交付要求。验收不是简单签字，而是对功能、数据、权限、流程、培训和运维交接的综合确认。</w:t>
      </w:r>
    </w:p>
    <w:p>
      <w:pPr>
        <w:spacing w:after="120" w:line="276" w:lineRule="auto"/>
        <w:ind w:firstLine="403"/>
      </w:pPr>
      <w:r>
        <w:rPr>
          <w:rFonts w:ascii="Microsoft YaHei" w:hAnsi="Microsoft YaHei" w:eastAsia="Microsoft YaHei"/>
          <w:sz w:val="21"/>
        </w:rPr>
        <w:t>在 验收阶段，Agent 应扮演辅助整理、检查和生成草案的角色，而不是无约束决策者。系统应保存输入材料、生成结果、人工确认记录和后续影响对象。这样既能提高效率，又能避免后期无法解释某个配置或承诺从何而来。</w:t>
      </w:r>
    </w:p>
    <w:p>
      <w:pPr>
        <w:pStyle w:val="Heading3"/>
      </w:pPr>
      <w:r>
        <w:rPr>
          <w:rFonts w:ascii="Microsoft YaHei" w:hAnsi="Microsoft YaHei" w:eastAsia="Microsoft YaHei"/>
          <w:b/>
          <w:color w:val="1F4D78"/>
          <w:sz w:val="24"/>
        </w:rPr>
        <w:t>售后阶段</w:t>
      </w:r>
    </w:p>
    <w:p>
      <w:pPr>
        <w:spacing w:after="120" w:line="276" w:lineRule="auto"/>
        <w:ind w:firstLine="403"/>
      </w:pPr>
      <w:r>
        <w:rPr>
          <w:rFonts w:ascii="Microsoft YaHei" w:hAnsi="Microsoft YaHei" w:eastAsia="Microsoft YaHei"/>
          <w:sz w:val="21"/>
        </w:rPr>
        <w:t>处理客户问题、缺陷、优化需求和使用咨询。售后工单应与版本、模块、客户环境和知识库关联，形成可复用经验。</w:t>
      </w:r>
    </w:p>
    <w:p>
      <w:pPr>
        <w:spacing w:after="120" w:line="276" w:lineRule="auto"/>
        <w:ind w:firstLine="403"/>
      </w:pPr>
      <w:r>
        <w:rPr>
          <w:rFonts w:ascii="Microsoft YaHei" w:hAnsi="Microsoft YaHei" w:eastAsia="Microsoft YaHei"/>
          <w:sz w:val="21"/>
        </w:rPr>
        <w:t>在 售后阶段，Agent 应扮演辅助整理、检查和生成草案的角色，而不是无约束决策者。系统应保存输入材料、生成结果、人工确认记录和后续影响对象。这样既能提高效率，又能避免后期无法解释某个配置或承诺从何而来。</w:t>
      </w:r>
    </w:p>
    <w:p>
      <w:pPr>
        <w:pStyle w:val="Heading3"/>
      </w:pPr>
      <w:r>
        <w:rPr>
          <w:rFonts w:ascii="Microsoft YaHei" w:hAnsi="Microsoft YaHei" w:eastAsia="Microsoft YaHei"/>
          <w:b/>
          <w:color w:val="1F4D78"/>
          <w:sz w:val="24"/>
        </w:rPr>
        <w:t>维护阶段</w:t>
      </w:r>
    </w:p>
    <w:p>
      <w:pPr>
        <w:spacing w:after="120" w:line="276" w:lineRule="auto"/>
        <w:ind w:firstLine="403"/>
      </w:pPr>
      <w:r>
        <w:rPr>
          <w:rFonts w:ascii="Microsoft YaHei" w:hAnsi="Microsoft YaHei" w:eastAsia="Microsoft YaHei"/>
          <w:sz w:val="21"/>
        </w:rPr>
        <w:t>关注备份、升级、监控、采集端版本、Agent 日志、数据库健康和安全策略。维护阶段的数据会反向帮助产品改进和实施模板优化。</w:t>
      </w:r>
    </w:p>
    <w:p>
      <w:pPr>
        <w:spacing w:after="120" w:line="276" w:lineRule="auto"/>
        <w:ind w:firstLine="403"/>
      </w:pPr>
      <w:r>
        <w:rPr>
          <w:rFonts w:ascii="Microsoft YaHei" w:hAnsi="Microsoft YaHei" w:eastAsia="Microsoft YaHei"/>
          <w:sz w:val="21"/>
        </w:rPr>
        <w:t>在 维护阶段，Agent 应扮演辅助整理、检查和生成草案的角色，而不是无约束决策者。系统应保存输入材料、生成结果、人工确认记录和后续影响对象。这样既能提高效率，又能避免后期无法解释某个配置或承诺从何而来。</w:t>
      </w:r>
    </w:p>
    <w:p>
      <w:pPr>
        <w:pStyle w:val="Heading2"/>
      </w:pPr>
      <w:r>
        <w:rPr>
          <w:rFonts w:ascii="Microsoft YaHei" w:hAnsi="Microsoft YaHei" w:eastAsia="Microsoft YaHei"/>
          <w:b/>
          <w:color w:val="2E74B5"/>
          <w:sz w:val="26"/>
        </w:rPr>
        <w:t>19.5 落地优先级建议</w:t>
      </w:r>
    </w:p>
    <w:p>
      <w:pPr>
        <w:spacing w:after="120" w:line="276" w:lineRule="auto"/>
        <w:ind w:firstLine="403"/>
      </w:pPr>
      <w:r>
        <w:rPr>
          <w:rFonts w:ascii="Microsoft YaHei" w:hAnsi="Microsoft YaHei" w:eastAsia="Microsoft YaHei"/>
          <w:sz w:val="21"/>
        </w:rPr>
        <w:t>从架构师视角看，当前最值得优先投入的不是继续扩大功能面，而是选择一条业务价值高、链路可控、测试可验证的路径做深。推荐路径是采购送货单或采购入库单的智能收单闭环：采集端上传、服务端解析、AI 计划、库存 RPC 入库、业务链接、后台总览、人工修正、统计展示和回归测试。该路径一旦跑通，就能复制到质量、设备和生产场景。</w:t>
      </w:r>
    </w:p>
    <w:p>
      <w:pPr>
        <w:spacing w:after="120" w:line="276" w:lineRule="auto"/>
        <w:ind w:firstLine="403"/>
      </w:pPr>
      <w:r>
        <w:rPr>
          <w:rFonts w:ascii="Microsoft YaHei" w:hAnsi="Microsoft YaHei" w:eastAsia="Microsoft YaHei"/>
          <w:sz w:val="21"/>
        </w:rPr>
        <w:t>第二优先级是工程治理：统一 Node 版本、端口登记、SQL UTF-8 执行标准、数据库备份、迁移记录、Agent 工具权限和前端日志采集。治理工作看起来不如新功能显眼，但它决定系统能否被其他人启动、维护、交付和长期使用。</w:t>
      </w:r>
    </w:p>
    <w:p>
      <w:pPr>
        <w:spacing w:after="120" w:line="276" w:lineRule="auto"/>
        <w:ind w:firstLine="403"/>
      </w:pPr>
      <w:r>
        <w:rPr>
          <w:rFonts w:ascii="Microsoft YaHei" w:hAnsi="Microsoft YaHei" w:eastAsia="Microsoft YaHei"/>
          <w:sz w:val="21"/>
        </w:rPr>
        <w:t>第三优先级是把应用中心、工作流和本体语义打通成“配置即知识”的体系。每个动态字段不只是数据库列，每个流程节点不只是状态文本，每个业务表不只是接口路径，而是 Agent、统计、权限、入单和实施模板都能理解的知识节点。这是 EISCore 与普通后台管理系统拉开差距的核心。</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340"/>
        <w:gridCol w:w="2340"/>
        <w:gridCol w:w="2340"/>
        <w:gridCol w:w="2340"/>
      </w:tblGrid>
      <w:tr>
        <w:tc>
          <w:tcPr>
            <w:tcW w:type="dxa" w:w="1512"/>
            <w:shd w:fill="E8EEF5"/>
            <w:vAlign w:val="center"/>
          </w:tcPr>
          <w:p>
            <w:pPr>
              <w:jc w:val="center"/>
            </w:pPr>
            <w:r>
              <w:rPr>
                <w:rFonts w:ascii="Microsoft YaHei" w:hAnsi="Microsoft YaHei" w:eastAsia="Microsoft YaHei"/>
                <w:b/>
                <w:sz w:val="18"/>
              </w:rPr>
              <w:t>优先级</w:t>
            </w:r>
          </w:p>
        </w:tc>
        <w:tc>
          <w:tcPr>
            <w:tcW w:type="dxa" w:w="2520"/>
            <w:shd w:fill="E8EEF5"/>
            <w:vAlign w:val="center"/>
          </w:tcPr>
          <w:p>
            <w:pPr>
              <w:jc w:val="center"/>
            </w:pPr>
            <w:r>
              <w:rPr>
                <w:rFonts w:ascii="Microsoft YaHei" w:hAnsi="Microsoft YaHei" w:eastAsia="Microsoft YaHei"/>
                <w:b/>
                <w:sz w:val="18"/>
              </w:rPr>
              <w:t>工作项</w:t>
            </w:r>
          </w:p>
        </w:tc>
        <w:tc>
          <w:tcPr>
            <w:tcW w:type="dxa" w:w="2664"/>
            <w:shd w:fill="E8EEF5"/>
            <w:vAlign w:val="center"/>
          </w:tcPr>
          <w:p>
            <w:pPr>
              <w:jc w:val="center"/>
            </w:pPr>
            <w:r>
              <w:rPr>
                <w:rFonts w:ascii="Microsoft YaHei" w:hAnsi="Microsoft YaHei" w:eastAsia="Microsoft YaHei"/>
                <w:b/>
                <w:sz w:val="18"/>
              </w:rPr>
              <w:t>原因</w:t>
            </w:r>
          </w:p>
        </w:tc>
        <w:tc>
          <w:tcPr>
            <w:tcW w:type="dxa" w:w="2664"/>
            <w:shd w:fill="E8EEF5"/>
            <w:vAlign w:val="center"/>
          </w:tcPr>
          <w:p>
            <w:pPr>
              <w:jc w:val="center"/>
            </w:pPr>
            <w:r>
              <w:rPr>
                <w:rFonts w:ascii="Microsoft YaHei" w:hAnsi="Microsoft YaHei" w:eastAsia="Microsoft YaHei"/>
                <w:b/>
                <w:sz w:val="18"/>
              </w:rPr>
              <w:t>建议验收</w:t>
            </w:r>
          </w:p>
        </w:tc>
      </w:tr>
      <w:tr>
        <w:tc>
          <w:tcPr>
            <w:tcW w:type="dxa" w:w="1512"/>
            <w:vAlign w:val="center"/>
          </w:tcPr>
          <w:p>
            <w:pPr>
              <w:spacing w:after="40"/>
            </w:pPr>
            <w:r>
              <w:rPr>
                <w:rFonts w:ascii="Microsoft YaHei" w:hAnsi="Microsoft YaHei" w:eastAsia="Microsoft YaHei"/>
                <w:sz w:val="18"/>
              </w:rPr>
              <w:t>P0</w:t>
            </w:r>
          </w:p>
        </w:tc>
        <w:tc>
          <w:tcPr>
            <w:tcW w:type="dxa" w:w="2520"/>
            <w:vAlign w:val="center"/>
          </w:tcPr>
          <w:p>
            <w:pPr>
              <w:spacing w:after="40"/>
            </w:pPr>
            <w:r>
              <w:rPr>
                <w:rFonts w:ascii="Microsoft YaHei" w:hAnsi="Microsoft YaHei" w:eastAsia="Microsoft YaHei"/>
                <w:sz w:val="18"/>
              </w:rPr>
              <w:t>采购入库智能收单闭环</w:t>
            </w:r>
          </w:p>
        </w:tc>
        <w:tc>
          <w:tcPr>
            <w:tcW w:type="dxa" w:w="2664"/>
            <w:vAlign w:val="center"/>
          </w:tcPr>
          <w:p>
            <w:pPr>
              <w:spacing w:after="40"/>
            </w:pPr>
            <w:r>
              <w:rPr>
                <w:rFonts w:ascii="Microsoft YaHei" w:hAnsi="Microsoft YaHei" w:eastAsia="Microsoft YaHei"/>
                <w:sz w:val="18"/>
              </w:rPr>
              <w:t>高频、结构明确、价值直接、测试可控</w:t>
            </w:r>
          </w:p>
        </w:tc>
        <w:tc>
          <w:tcPr>
            <w:tcW w:type="dxa" w:w="2664"/>
            <w:vAlign w:val="center"/>
          </w:tcPr>
          <w:p>
            <w:pPr>
              <w:spacing w:after="40"/>
            </w:pPr>
            <w:r>
              <w:rPr>
                <w:rFonts w:ascii="Microsoft YaHei" w:hAnsi="Microsoft YaHei" w:eastAsia="Microsoft YaHei"/>
                <w:sz w:val="18"/>
              </w:rPr>
              <w:t>一类真实资料从采集到入库到修正全链路通过</w:t>
            </w:r>
          </w:p>
        </w:tc>
      </w:tr>
      <w:tr>
        <w:tc>
          <w:tcPr>
            <w:tcW w:type="dxa" w:w="1512"/>
            <w:vAlign w:val="center"/>
          </w:tcPr>
          <w:p>
            <w:pPr>
              <w:spacing w:after="40"/>
            </w:pPr>
            <w:r>
              <w:rPr>
                <w:rFonts w:ascii="Microsoft YaHei" w:hAnsi="Microsoft YaHei" w:eastAsia="Microsoft YaHei"/>
                <w:sz w:val="18"/>
              </w:rPr>
              <w:t>P0</w:t>
            </w:r>
          </w:p>
        </w:tc>
        <w:tc>
          <w:tcPr>
            <w:tcW w:type="dxa" w:w="2520"/>
            <w:vAlign w:val="center"/>
          </w:tcPr>
          <w:p>
            <w:pPr>
              <w:spacing w:after="40"/>
            </w:pPr>
            <w:r>
              <w:rPr>
                <w:rFonts w:ascii="Microsoft YaHei" w:hAnsi="Microsoft YaHei" w:eastAsia="Microsoft YaHei"/>
                <w:sz w:val="18"/>
              </w:rPr>
              <w:t>SQL UTF-8 与乱码治理</w:t>
            </w:r>
          </w:p>
        </w:tc>
        <w:tc>
          <w:tcPr>
            <w:tcW w:type="dxa" w:w="2664"/>
            <w:vAlign w:val="center"/>
          </w:tcPr>
          <w:p>
            <w:pPr>
              <w:spacing w:after="40"/>
            </w:pPr>
            <w:r>
              <w:rPr>
                <w:rFonts w:ascii="Microsoft YaHei" w:hAnsi="Microsoft YaHei" w:eastAsia="Microsoft YaHei"/>
                <w:sz w:val="18"/>
              </w:rPr>
              <w:t>语义和配置一旦乱码会破坏知识层</w:t>
            </w:r>
          </w:p>
        </w:tc>
        <w:tc>
          <w:tcPr>
            <w:tcW w:type="dxa" w:w="2664"/>
            <w:vAlign w:val="center"/>
          </w:tcPr>
          <w:p>
            <w:pPr>
              <w:spacing w:after="40"/>
            </w:pPr>
            <w:r>
              <w:rPr>
                <w:rFonts w:ascii="Microsoft YaHei" w:hAnsi="Microsoft YaHei" w:eastAsia="Microsoft YaHei"/>
                <w:sz w:val="18"/>
              </w:rPr>
              <w:t>执行后自动扫描问号乱码并有修复脚本</w:t>
            </w:r>
          </w:p>
        </w:tc>
      </w:tr>
      <w:tr>
        <w:tc>
          <w:tcPr>
            <w:tcW w:type="dxa" w:w="1512"/>
            <w:vAlign w:val="center"/>
          </w:tcPr>
          <w:p>
            <w:pPr>
              <w:spacing w:after="40"/>
            </w:pPr>
            <w:r>
              <w:rPr>
                <w:rFonts w:ascii="Microsoft YaHei" w:hAnsi="Microsoft YaHei" w:eastAsia="Microsoft YaHei"/>
                <w:sz w:val="18"/>
              </w:rPr>
              <w:t>P1</w:t>
            </w:r>
          </w:p>
        </w:tc>
        <w:tc>
          <w:tcPr>
            <w:tcW w:type="dxa" w:w="2520"/>
            <w:vAlign w:val="center"/>
          </w:tcPr>
          <w:p>
            <w:pPr>
              <w:spacing w:after="40"/>
            </w:pPr>
            <w:r>
              <w:rPr>
                <w:rFonts w:ascii="Microsoft YaHei" w:hAnsi="Microsoft YaHei" w:eastAsia="Microsoft YaHei"/>
                <w:sz w:val="18"/>
              </w:rPr>
              <w:t>端口与启动脚本</w:t>
            </w:r>
          </w:p>
        </w:tc>
        <w:tc>
          <w:tcPr>
            <w:tcW w:type="dxa" w:w="2664"/>
            <w:vAlign w:val="center"/>
          </w:tcPr>
          <w:p>
            <w:pPr>
              <w:spacing w:after="40"/>
            </w:pPr>
            <w:r>
              <w:rPr>
                <w:rFonts w:ascii="Microsoft YaHei" w:hAnsi="Microsoft YaHei" w:eastAsia="Microsoft YaHei"/>
                <w:sz w:val="18"/>
              </w:rPr>
              <w:t>当前项目服务多，新人启动成本高</w:t>
            </w:r>
          </w:p>
        </w:tc>
        <w:tc>
          <w:tcPr>
            <w:tcW w:type="dxa" w:w="2664"/>
            <w:vAlign w:val="center"/>
          </w:tcPr>
          <w:p>
            <w:pPr>
              <w:spacing w:after="40"/>
            </w:pPr>
            <w:r>
              <w:rPr>
                <w:rFonts w:ascii="Microsoft YaHei" w:hAnsi="Microsoft YaHei" w:eastAsia="Microsoft YaHei"/>
                <w:sz w:val="18"/>
              </w:rPr>
              <w:t>一键检查并启动后端和前端，输出访问地址</w:t>
            </w:r>
          </w:p>
        </w:tc>
      </w:tr>
      <w:tr>
        <w:tc>
          <w:tcPr>
            <w:tcW w:type="dxa" w:w="1512"/>
            <w:vAlign w:val="center"/>
          </w:tcPr>
          <w:p>
            <w:pPr>
              <w:spacing w:after="40"/>
            </w:pPr>
            <w:r>
              <w:rPr>
                <w:rFonts w:ascii="Microsoft YaHei" w:hAnsi="Microsoft YaHei" w:eastAsia="Microsoft YaHei"/>
                <w:sz w:val="18"/>
              </w:rPr>
              <w:t>P1</w:t>
            </w:r>
          </w:p>
        </w:tc>
        <w:tc>
          <w:tcPr>
            <w:tcW w:type="dxa" w:w="2520"/>
            <w:vAlign w:val="center"/>
          </w:tcPr>
          <w:p>
            <w:pPr>
              <w:spacing w:after="40"/>
            </w:pPr>
            <w:r>
              <w:rPr>
                <w:rFonts w:ascii="Microsoft YaHei" w:hAnsi="Microsoft YaHei" w:eastAsia="Microsoft YaHei"/>
                <w:sz w:val="18"/>
              </w:rPr>
              <w:t>Agent 工具权限审计</w:t>
            </w:r>
          </w:p>
        </w:tc>
        <w:tc>
          <w:tcPr>
            <w:tcW w:type="dxa" w:w="2664"/>
            <w:vAlign w:val="center"/>
          </w:tcPr>
          <w:p>
            <w:pPr>
              <w:spacing w:after="40"/>
            </w:pPr>
            <w:r>
              <w:rPr>
                <w:rFonts w:ascii="Microsoft YaHei" w:hAnsi="Microsoft YaHei" w:eastAsia="Microsoft YaHei"/>
                <w:sz w:val="18"/>
              </w:rPr>
              <w:t>自动化能力越强越需要边界</w:t>
            </w:r>
          </w:p>
        </w:tc>
        <w:tc>
          <w:tcPr>
            <w:tcW w:type="dxa" w:w="2664"/>
            <w:vAlign w:val="center"/>
          </w:tcPr>
          <w:p>
            <w:pPr>
              <w:spacing w:after="40"/>
            </w:pPr>
            <w:r>
              <w:rPr>
                <w:rFonts w:ascii="Microsoft YaHei" w:hAnsi="Microsoft YaHei" w:eastAsia="Microsoft YaHei"/>
                <w:sz w:val="18"/>
              </w:rPr>
              <w:t>每个工具有权限、参数和日志</w:t>
            </w:r>
          </w:p>
        </w:tc>
      </w:tr>
      <w:tr>
        <w:tc>
          <w:tcPr>
            <w:tcW w:type="dxa" w:w="1512"/>
            <w:vAlign w:val="center"/>
          </w:tcPr>
          <w:p>
            <w:pPr>
              <w:spacing w:after="40"/>
            </w:pPr>
            <w:r>
              <w:rPr>
                <w:rFonts w:ascii="Microsoft YaHei" w:hAnsi="Microsoft YaHei" w:eastAsia="Microsoft YaHei"/>
                <w:sz w:val="18"/>
              </w:rPr>
              <w:t>P1</w:t>
            </w:r>
          </w:p>
        </w:tc>
        <w:tc>
          <w:tcPr>
            <w:tcW w:type="dxa" w:w="2520"/>
            <w:vAlign w:val="center"/>
          </w:tcPr>
          <w:p>
            <w:pPr>
              <w:spacing w:after="40"/>
            </w:pPr>
            <w:r>
              <w:rPr>
                <w:rFonts w:ascii="Microsoft YaHei" w:hAnsi="Microsoft YaHei" w:eastAsia="Microsoft YaHei"/>
                <w:sz w:val="18"/>
              </w:rPr>
              <w:t>采集端设备管理后台</w:t>
            </w:r>
          </w:p>
        </w:tc>
        <w:tc>
          <w:tcPr>
            <w:tcW w:type="dxa" w:w="2664"/>
            <w:vAlign w:val="center"/>
          </w:tcPr>
          <w:p>
            <w:pPr>
              <w:spacing w:after="40"/>
            </w:pPr>
            <w:r>
              <w:rPr>
                <w:rFonts w:ascii="Microsoft YaHei" w:hAnsi="Microsoft YaHei" w:eastAsia="Microsoft YaHei"/>
                <w:sz w:val="18"/>
              </w:rPr>
              <w:t>现场部署需要远程禁用、心跳和日志</w:t>
            </w:r>
          </w:p>
        </w:tc>
        <w:tc>
          <w:tcPr>
            <w:tcW w:type="dxa" w:w="2664"/>
            <w:vAlign w:val="center"/>
          </w:tcPr>
          <w:p>
            <w:pPr>
              <w:spacing w:after="40"/>
            </w:pPr>
            <w:r>
              <w:rPr>
                <w:rFonts w:ascii="Microsoft YaHei" w:hAnsi="Microsoft YaHei" w:eastAsia="Microsoft YaHei"/>
                <w:sz w:val="18"/>
              </w:rPr>
              <w:t>能查看设备在线、版本、目录和错误</w:t>
            </w:r>
          </w:p>
        </w:tc>
      </w:tr>
      <w:tr>
        <w:tc>
          <w:tcPr>
            <w:tcW w:type="dxa" w:w="1512"/>
            <w:vAlign w:val="center"/>
          </w:tcPr>
          <w:p>
            <w:pPr>
              <w:spacing w:after="40"/>
            </w:pPr>
            <w:r>
              <w:rPr>
                <w:rFonts w:ascii="Microsoft YaHei" w:hAnsi="Microsoft YaHei" w:eastAsia="Microsoft YaHei"/>
                <w:sz w:val="18"/>
              </w:rPr>
              <w:t>P2</w:t>
            </w:r>
          </w:p>
        </w:tc>
        <w:tc>
          <w:tcPr>
            <w:tcW w:type="dxa" w:w="2520"/>
            <w:vAlign w:val="center"/>
          </w:tcPr>
          <w:p>
            <w:pPr>
              <w:spacing w:after="40"/>
            </w:pPr>
            <w:r>
              <w:rPr>
                <w:rFonts w:ascii="Microsoft YaHei" w:hAnsi="Microsoft YaHei" w:eastAsia="Microsoft YaHei"/>
                <w:sz w:val="18"/>
              </w:rPr>
              <w:t>第二阶段交付系统 MVP</w:t>
            </w:r>
          </w:p>
        </w:tc>
        <w:tc>
          <w:tcPr>
            <w:tcW w:type="dxa" w:w="2664"/>
            <w:vAlign w:val="center"/>
          </w:tcPr>
          <w:p>
            <w:pPr>
              <w:spacing w:after="40"/>
            </w:pPr>
            <w:r>
              <w:rPr>
                <w:rFonts w:ascii="Microsoft YaHei" w:hAnsi="Microsoft YaHei" w:eastAsia="Microsoft YaHei"/>
                <w:sz w:val="18"/>
              </w:rPr>
              <w:t>需要在本体能力稳定后启动</w:t>
            </w:r>
          </w:p>
        </w:tc>
        <w:tc>
          <w:tcPr>
            <w:tcW w:type="dxa" w:w="2664"/>
            <w:vAlign w:val="center"/>
          </w:tcPr>
          <w:p>
            <w:pPr>
              <w:spacing w:after="40"/>
            </w:pPr>
            <w:r>
              <w:rPr>
                <w:rFonts w:ascii="Microsoft YaHei" w:hAnsi="Microsoft YaHei" w:eastAsia="Microsoft YaHei"/>
                <w:sz w:val="18"/>
              </w:rPr>
              <w:t>项目空间、调研、配置包和验收文件闭环</w:t>
            </w:r>
          </w:p>
        </w:tc>
      </w:tr>
    </w:tbl>
    <w:p/>
    <w:p>
      <w:pPr>
        <w:pStyle w:val="Heading1"/>
      </w:pPr>
      <w:r>
        <w:rPr>
          <w:rFonts w:ascii="Microsoft YaHei" w:hAnsi="Microsoft YaHei" w:eastAsia="Microsoft YaHei"/>
          <w:b/>
          <w:color w:val="2E74B5"/>
          <w:sz w:val="32"/>
        </w:rPr>
        <w:t>附录 A 关键服务、模块、表、脚本与测试清单</w:t>
      </w:r>
    </w:p>
    <w:p>
      <w:pPr>
        <w:pStyle w:val="Heading2"/>
      </w:pPr>
      <w:r>
        <w:rPr>
          <w:rFonts w:ascii="Microsoft YaHei" w:hAnsi="Microsoft YaHei" w:eastAsia="Microsoft YaHei"/>
          <w:b/>
          <w:color w:val="2E74B5"/>
          <w:sz w:val="26"/>
        </w:rPr>
        <w:t>A.1 当前前端工程清单</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2304"/>
            <w:shd w:fill="E8EEF5"/>
            <w:vAlign w:val="center"/>
          </w:tcPr>
          <w:p>
            <w:pPr>
              <w:jc w:val="center"/>
            </w:pPr>
            <w:r>
              <w:rPr>
                <w:rFonts w:ascii="Microsoft YaHei" w:hAnsi="Microsoft YaHei" w:eastAsia="Microsoft YaHei"/>
                <w:b/>
                <w:sz w:val="18"/>
              </w:rPr>
              <w:t>工程</w:t>
            </w:r>
          </w:p>
        </w:tc>
        <w:tc>
          <w:tcPr>
            <w:tcW w:type="dxa" w:w="3168"/>
            <w:shd w:fill="E8EEF5"/>
            <w:vAlign w:val="center"/>
          </w:tcPr>
          <w:p>
            <w:pPr>
              <w:jc w:val="center"/>
            </w:pPr>
            <w:r>
              <w:rPr>
                <w:rFonts w:ascii="Microsoft YaHei" w:hAnsi="Microsoft YaHei" w:eastAsia="Microsoft YaHei"/>
                <w:b/>
                <w:sz w:val="18"/>
              </w:rPr>
              <w:t>定位</w:t>
            </w:r>
          </w:p>
        </w:tc>
        <w:tc>
          <w:tcPr>
            <w:tcW w:type="dxa" w:w="3888"/>
            <w:shd w:fill="E8EEF5"/>
            <w:vAlign w:val="center"/>
          </w:tcPr>
          <w:p>
            <w:pPr>
              <w:jc w:val="center"/>
            </w:pPr>
            <w:r>
              <w:rPr>
                <w:rFonts w:ascii="Microsoft YaHei" w:hAnsi="Microsoft YaHei" w:eastAsia="Microsoft YaHei"/>
                <w:b/>
                <w:sz w:val="18"/>
              </w:rPr>
              <w:t>建议默认开发端口策略</w:t>
            </w:r>
          </w:p>
        </w:tc>
      </w:tr>
      <w:tr>
        <w:tc>
          <w:tcPr>
            <w:tcW w:type="dxa" w:w="2304"/>
            <w:vAlign w:val="center"/>
          </w:tcPr>
          <w:p>
            <w:pPr>
              <w:spacing w:after="40"/>
            </w:pPr>
            <w:r>
              <w:rPr>
                <w:rFonts w:ascii="Microsoft YaHei" w:hAnsi="Microsoft YaHei" w:eastAsia="Microsoft YaHei"/>
                <w:sz w:val="18"/>
              </w:rPr>
              <w:t>eiscore-base</w:t>
            </w:r>
          </w:p>
        </w:tc>
        <w:tc>
          <w:tcPr>
            <w:tcW w:type="dxa" w:w="3168"/>
            <w:vAlign w:val="center"/>
          </w:tcPr>
          <w:p>
            <w:pPr>
              <w:spacing w:after="40"/>
            </w:pPr>
            <w:r>
              <w:rPr>
                <w:rFonts w:ascii="Microsoft YaHei" w:hAnsi="Microsoft YaHei" w:eastAsia="Microsoft YaHei"/>
                <w:sz w:val="18"/>
              </w:rPr>
              <w:t>基座门户</w:t>
            </w:r>
          </w:p>
        </w:tc>
        <w:tc>
          <w:tcPr>
            <w:tcW w:type="dxa" w:w="3888"/>
            <w:vAlign w:val="center"/>
          </w:tcPr>
          <w:p>
            <w:pPr>
              <w:spacing w:after="40"/>
            </w:pPr>
            <w:r>
              <w:rPr>
                <w:rFonts w:ascii="Microsoft YaHei" w:hAnsi="Microsoft YaHei" w:eastAsia="Microsoft YaHei"/>
                <w:sz w:val="18"/>
              </w:rPr>
              <w:t>按 8080-8092 区间登记；冲突时由启动脚本自动提示备用端口</w:t>
            </w:r>
          </w:p>
        </w:tc>
      </w:tr>
      <w:tr>
        <w:tc>
          <w:tcPr>
            <w:tcW w:type="dxa" w:w="2304"/>
            <w:vAlign w:val="center"/>
          </w:tcPr>
          <w:p>
            <w:pPr>
              <w:spacing w:after="40"/>
            </w:pPr>
            <w:r>
              <w:rPr>
                <w:rFonts w:ascii="Microsoft YaHei" w:hAnsi="Microsoft YaHei" w:eastAsia="Microsoft YaHei"/>
                <w:sz w:val="18"/>
              </w:rPr>
              <w:t>eiscore-hr</w:t>
            </w:r>
          </w:p>
        </w:tc>
        <w:tc>
          <w:tcPr>
            <w:tcW w:type="dxa" w:w="3168"/>
            <w:vAlign w:val="center"/>
          </w:tcPr>
          <w:p>
            <w:pPr>
              <w:spacing w:after="40"/>
            </w:pPr>
            <w:r>
              <w:rPr>
                <w:rFonts w:ascii="Microsoft YaHei" w:hAnsi="Microsoft YaHei" w:eastAsia="Microsoft YaHei"/>
                <w:sz w:val="18"/>
              </w:rPr>
              <w:t>人事管理</w:t>
            </w:r>
          </w:p>
        </w:tc>
        <w:tc>
          <w:tcPr>
            <w:tcW w:type="dxa" w:w="3888"/>
            <w:vAlign w:val="center"/>
          </w:tcPr>
          <w:p>
            <w:pPr>
              <w:spacing w:after="40"/>
            </w:pPr>
            <w:r>
              <w:rPr>
                <w:rFonts w:ascii="Microsoft YaHei" w:hAnsi="Microsoft YaHei" w:eastAsia="Microsoft YaHei"/>
                <w:sz w:val="18"/>
              </w:rPr>
              <w:t>按 8080-8092 区间登记；冲突时由启动脚本自动提示备用端口</w:t>
            </w:r>
          </w:p>
        </w:tc>
      </w:tr>
      <w:tr>
        <w:tc>
          <w:tcPr>
            <w:tcW w:type="dxa" w:w="2304"/>
            <w:vAlign w:val="center"/>
          </w:tcPr>
          <w:p>
            <w:pPr>
              <w:spacing w:after="40"/>
            </w:pPr>
            <w:r>
              <w:rPr>
                <w:rFonts w:ascii="Microsoft YaHei" w:hAnsi="Microsoft YaHei" w:eastAsia="Microsoft YaHei"/>
                <w:sz w:val="18"/>
              </w:rPr>
              <w:t>eiscore-materials</w:t>
            </w:r>
          </w:p>
        </w:tc>
        <w:tc>
          <w:tcPr>
            <w:tcW w:type="dxa" w:w="3168"/>
            <w:vAlign w:val="center"/>
          </w:tcPr>
          <w:p>
            <w:pPr>
              <w:spacing w:after="40"/>
            </w:pPr>
            <w:r>
              <w:rPr>
                <w:rFonts w:ascii="Microsoft YaHei" w:hAnsi="Microsoft YaHei" w:eastAsia="Microsoft YaHei"/>
                <w:sz w:val="18"/>
              </w:rPr>
              <w:t>仓储物料</w:t>
            </w:r>
          </w:p>
        </w:tc>
        <w:tc>
          <w:tcPr>
            <w:tcW w:type="dxa" w:w="3888"/>
            <w:vAlign w:val="center"/>
          </w:tcPr>
          <w:p>
            <w:pPr>
              <w:spacing w:after="40"/>
            </w:pPr>
            <w:r>
              <w:rPr>
                <w:rFonts w:ascii="Microsoft YaHei" w:hAnsi="Microsoft YaHei" w:eastAsia="Microsoft YaHei"/>
                <w:sz w:val="18"/>
              </w:rPr>
              <w:t>按 8080-8092 区间登记；冲突时由启动脚本自动提示备用端口</w:t>
            </w:r>
          </w:p>
        </w:tc>
      </w:tr>
      <w:tr>
        <w:tc>
          <w:tcPr>
            <w:tcW w:type="dxa" w:w="2304"/>
            <w:vAlign w:val="center"/>
          </w:tcPr>
          <w:p>
            <w:pPr>
              <w:spacing w:after="40"/>
            </w:pPr>
            <w:r>
              <w:rPr>
                <w:rFonts w:ascii="Microsoft YaHei" w:hAnsi="Microsoft YaHei" w:eastAsia="Microsoft YaHei"/>
                <w:sz w:val="18"/>
              </w:rPr>
              <w:t>eiscore-apps</w:t>
            </w:r>
          </w:p>
        </w:tc>
        <w:tc>
          <w:tcPr>
            <w:tcW w:type="dxa" w:w="3168"/>
            <w:vAlign w:val="center"/>
          </w:tcPr>
          <w:p>
            <w:pPr>
              <w:spacing w:after="40"/>
            </w:pPr>
            <w:r>
              <w:rPr>
                <w:rFonts w:ascii="Microsoft YaHei" w:hAnsi="Microsoft YaHei" w:eastAsia="Microsoft YaHei"/>
                <w:sz w:val="18"/>
              </w:rPr>
              <w:t>应用中心</w:t>
            </w:r>
          </w:p>
        </w:tc>
        <w:tc>
          <w:tcPr>
            <w:tcW w:type="dxa" w:w="3888"/>
            <w:vAlign w:val="center"/>
          </w:tcPr>
          <w:p>
            <w:pPr>
              <w:spacing w:after="40"/>
            </w:pPr>
            <w:r>
              <w:rPr>
                <w:rFonts w:ascii="Microsoft YaHei" w:hAnsi="Microsoft YaHei" w:eastAsia="Microsoft YaHei"/>
                <w:sz w:val="18"/>
              </w:rPr>
              <w:t>按 8080-8092 区间登记；冲突时由启动脚本自动提示备用端口</w:t>
            </w:r>
          </w:p>
        </w:tc>
      </w:tr>
      <w:tr>
        <w:tc>
          <w:tcPr>
            <w:tcW w:type="dxa" w:w="2304"/>
            <w:vAlign w:val="center"/>
          </w:tcPr>
          <w:p>
            <w:pPr>
              <w:spacing w:after="40"/>
            </w:pPr>
            <w:r>
              <w:rPr>
                <w:rFonts w:ascii="Microsoft YaHei" w:hAnsi="Microsoft YaHei" w:eastAsia="Microsoft YaHei"/>
                <w:sz w:val="18"/>
              </w:rPr>
              <w:t>eiscore-mobile</w:t>
            </w:r>
          </w:p>
        </w:tc>
        <w:tc>
          <w:tcPr>
            <w:tcW w:type="dxa" w:w="3168"/>
            <w:vAlign w:val="center"/>
          </w:tcPr>
          <w:p>
            <w:pPr>
              <w:spacing w:after="40"/>
            </w:pPr>
            <w:r>
              <w:rPr>
                <w:rFonts w:ascii="Microsoft YaHei" w:hAnsi="Microsoft YaHei" w:eastAsia="Microsoft YaHei"/>
                <w:sz w:val="18"/>
              </w:rPr>
              <w:t>移动端</w:t>
            </w:r>
          </w:p>
        </w:tc>
        <w:tc>
          <w:tcPr>
            <w:tcW w:type="dxa" w:w="3888"/>
            <w:vAlign w:val="center"/>
          </w:tcPr>
          <w:p>
            <w:pPr>
              <w:spacing w:after="40"/>
            </w:pPr>
            <w:r>
              <w:rPr>
                <w:rFonts w:ascii="Microsoft YaHei" w:hAnsi="Microsoft YaHei" w:eastAsia="Microsoft YaHei"/>
                <w:sz w:val="18"/>
              </w:rPr>
              <w:t>按 8080-8092 区间登记；冲突时由启动脚本自动提示备用端口</w:t>
            </w:r>
          </w:p>
        </w:tc>
      </w:tr>
      <w:tr>
        <w:tc>
          <w:tcPr>
            <w:tcW w:type="dxa" w:w="2304"/>
            <w:vAlign w:val="center"/>
          </w:tcPr>
          <w:p>
            <w:pPr>
              <w:spacing w:after="40"/>
            </w:pPr>
            <w:r>
              <w:rPr>
                <w:rFonts w:ascii="Microsoft YaHei" w:hAnsi="Microsoft YaHei" w:eastAsia="Microsoft YaHei"/>
                <w:sz w:val="18"/>
              </w:rPr>
              <w:t>eiscore-sales</w:t>
            </w:r>
          </w:p>
        </w:tc>
        <w:tc>
          <w:tcPr>
            <w:tcW w:type="dxa" w:w="3168"/>
            <w:vAlign w:val="center"/>
          </w:tcPr>
          <w:p>
            <w:pPr>
              <w:spacing w:after="40"/>
            </w:pPr>
            <w:r>
              <w:rPr>
                <w:rFonts w:ascii="Microsoft YaHei" w:hAnsi="Microsoft YaHei" w:eastAsia="Microsoft YaHei"/>
                <w:sz w:val="18"/>
              </w:rPr>
              <w:t>销售管理</w:t>
            </w:r>
          </w:p>
        </w:tc>
        <w:tc>
          <w:tcPr>
            <w:tcW w:type="dxa" w:w="3888"/>
            <w:vAlign w:val="center"/>
          </w:tcPr>
          <w:p>
            <w:pPr>
              <w:spacing w:after="40"/>
            </w:pPr>
            <w:r>
              <w:rPr>
                <w:rFonts w:ascii="Microsoft YaHei" w:hAnsi="Microsoft YaHei" w:eastAsia="Microsoft YaHei"/>
                <w:sz w:val="18"/>
              </w:rPr>
              <w:t>按 8080-8092 区间登记；冲突时由启动脚本自动提示备用端口</w:t>
            </w:r>
          </w:p>
        </w:tc>
      </w:tr>
      <w:tr>
        <w:tc>
          <w:tcPr>
            <w:tcW w:type="dxa" w:w="2304"/>
            <w:vAlign w:val="center"/>
          </w:tcPr>
          <w:p>
            <w:pPr>
              <w:spacing w:after="40"/>
            </w:pPr>
            <w:r>
              <w:rPr>
                <w:rFonts w:ascii="Microsoft YaHei" w:hAnsi="Microsoft YaHei" w:eastAsia="Microsoft YaHei"/>
                <w:sz w:val="18"/>
              </w:rPr>
              <w:t>eiscore-purchase</w:t>
            </w:r>
          </w:p>
        </w:tc>
        <w:tc>
          <w:tcPr>
            <w:tcW w:type="dxa" w:w="3168"/>
            <w:vAlign w:val="center"/>
          </w:tcPr>
          <w:p>
            <w:pPr>
              <w:spacing w:after="40"/>
            </w:pPr>
            <w:r>
              <w:rPr>
                <w:rFonts w:ascii="Microsoft YaHei" w:hAnsi="Microsoft YaHei" w:eastAsia="Microsoft YaHei"/>
                <w:sz w:val="18"/>
              </w:rPr>
              <w:t>采购管理</w:t>
            </w:r>
          </w:p>
        </w:tc>
        <w:tc>
          <w:tcPr>
            <w:tcW w:type="dxa" w:w="3888"/>
            <w:vAlign w:val="center"/>
          </w:tcPr>
          <w:p>
            <w:pPr>
              <w:spacing w:after="40"/>
            </w:pPr>
            <w:r>
              <w:rPr>
                <w:rFonts w:ascii="Microsoft YaHei" w:hAnsi="Microsoft YaHei" w:eastAsia="Microsoft YaHei"/>
                <w:sz w:val="18"/>
              </w:rPr>
              <w:t>按 8080-8092 区间登记；冲突时由启动脚本自动提示备用端口</w:t>
            </w:r>
          </w:p>
        </w:tc>
      </w:tr>
      <w:tr>
        <w:tc>
          <w:tcPr>
            <w:tcW w:type="dxa" w:w="2304"/>
            <w:vAlign w:val="center"/>
          </w:tcPr>
          <w:p>
            <w:pPr>
              <w:spacing w:after="40"/>
            </w:pPr>
            <w:r>
              <w:rPr>
                <w:rFonts w:ascii="Microsoft YaHei" w:hAnsi="Microsoft YaHei" w:eastAsia="Microsoft YaHei"/>
                <w:sz w:val="18"/>
              </w:rPr>
              <w:t>eiscore-production</w:t>
            </w:r>
          </w:p>
        </w:tc>
        <w:tc>
          <w:tcPr>
            <w:tcW w:type="dxa" w:w="3168"/>
            <w:vAlign w:val="center"/>
          </w:tcPr>
          <w:p>
            <w:pPr>
              <w:spacing w:after="40"/>
            </w:pPr>
            <w:r>
              <w:rPr>
                <w:rFonts w:ascii="Microsoft YaHei" w:hAnsi="Microsoft YaHei" w:eastAsia="Microsoft YaHei"/>
                <w:sz w:val="18"/>
              </w:rPr>
              <w:t>生产管理</w:t>
            </w:r>
          </w:p>
        </w:tc>
        <w:tc>
          <w:tcPr>
            <w:tcW w:type="dxa" w:w="3888"/>
            <w:vAlign w:val="center"/>
          </w:tcPr>
          <w:p>
            <w:pPr>
              <w:spacing w:after="40"/>
            </w:pPr>
            <w:r>
              <w:rPr>
                <w:rFonts w:ascii="Microsoft YaHei" w:hAnsi="Microsoft YaHei" w:eastAsia="Microsoft YaHei"/>
                <w:sz w:val="18"/>
              </w:rPr>
              <w:t>按 8080-8092 区间登记；冲突时由启动脚本自动提示备用端口</w:t>
            </w:r>
          </w:p>
        </w:tc>
      </w:tr>
      <w:tr>
        <w:tc>
          <w:tcPr>
            <w:tcW w:type="dxa" w:w="2304"/>
            <w:vAlign w:val="center"/>
          </w:tcPr>
          <w:p>
            <w:pPr>
              <w:spacing w:after="40"/>
            </w:pPr>
            <w:r>
              <w:rPr>
                <w:rFonts w:ascii="Microsoft YaHei" w:hAnsi="Microsoft YaHei" w:eastAsia="Microsoft YaHei"/>
                <w:sz w:val="18"/>
              </w:rPr>
              <w:t>eiscore-quality</w:t>
            </w:r>
          </w:p>
        </w:tc>
        <w:tc>
          <w:tcPr>
            <w:tcW w:type="dxa" w:w="3168"/>
            <w:vAlign w:val="center"/>
          </w:tcPr>
          <w:p>
            <w:pPr>
              <w:spacing w:after="40"/>
            </w:pPr>
            <w:r>
              <w:rPr>
                <w:rFonts w:ascii="Microsoft YaHei" w:hAnsi="Microsoft YaHei" w:eastAsia="Microsoft YaHei"/>
                <w:sz w:val="18"/>
              </w:rPr>
              <w:t>质量管理</w:t>
            </w:r>
          </w:p>
        </w:tc>
        <w:tc>
          <w:tcPr>
            <w:tcW w:type="dxa" w:w="3888"/>
            <w:vAlign w:val="center"/>
          </w:tcPr>
          <w:p>
            <w:pPr>
              <w:spacing w:after="40"/>
            </w:pPr>
            <w:r>
              <w:rPr>
                <w:rFonts w:ascii="Microsoft YaHei" w:hAnsi="Microsoft YaHei" w:eastAsia="Microsoft YaHei"/>
                <w:sz w:val="18"/>
              </w:rPr>
              <w:t>按 8080-8092 区间登记；冲突时由启动脚本自动提示备用端口</w:t>
            </w:r>
          </w:p>
        </w:tc>
      </w:tr>
      <w:tr>
        <w:tc>
          <w:tcPr>
            <w:tcW w:type="dxa" w:w="2304"/>
            <w:vAlign w:val="center"/>
          </w:tcPr>
          <w:p>
            <w:pPr>
              <w:spacing w:after="40"/>
            </w:pPr>
            <w:r>
              <w:rPr>
                <w:rFonts w:ascii="Microsoft YaHei" w:hAnsi="Microsoft YaHei" w:eastAsia="Microsoft YaHei"/>
                <w:sz w:val="18"/>
              </w:rPr>
              <w:t>eiscore-equipment</w:t>
            </w:r>
          </w:p>
        </w:tc>
        <w:tc>
          <w:tcPr>
            <w:tcW w:type="dxa" w:w="3168"/>
            <w:vAlign w:val="center"/>
          </w:tcPr>
          <w:p>
            <w:pPr>
              <w:spacing w:after="40"/>
            </w:pPr>
            <w:r>
              <w:rPr>
                <w:rFonts w:ascii="Microsoft YaHei" w:hAnsi="Microsoft YaHei" w:eastAsia="Microsoft YaHei"/>
                <w:sz w:val="18"/>
              </w:rPr>
              <w:t>设备管理</w:t>
            </w:r>
          </w:p>
        </w:tc>
        <w:tc>
          <w:tcPr>
            <w:tcW w:type="dxa" w:w="3888"/>
            <w:vAlign w:val="center"/>
          </w:tcPr>
          <w:p>
            <w:pPr>
              <w:spacing w:after="40"/>
            </w:pPr>
            <w:r>
              <w:rPr>
                <w:rFonts w:ascii="Microsoft YaHei" w:hAnsi="Microsoft YaHei" w:eastAsia="Microsoft YaHei"/>
                <w:sz w:val="18"/>
              </w:rPr>
              <w:t>按 8080-8092 区间登记；冲突时由启动脚本自动提示备用端口</w:t>
            </w:r>
          </w:p>
        </w:tc>
      </w:tr>
      <w:tr>
        <w:tc>
          <w:tcPr>
            <w:tcW w:type="dxa" w:w="2304"/>
            <w:vAlign w:val="center"/>
          </w:tcPr>
          <w:p>
            <w:pPr>
              <w:spacing w:after="40"/>
            </w:pPr>
            <w:r>
              <w:rPr>
                <w:rFonts w:ascii="Microsoft YaHei" w:hAnsi="Microsoft YaHei" w:eastAsia="Microsoft YaHei"/>
                <w:sz w:val="18"/>
              </w:rPr>
              <w:t>eiscore-decision</w:t>
            </w:r>
          </w:p>
        </w:tc>
        <w:tc>
          <w:tcPr>
            <w:tcW w:type="dxa" w:w="3168"/>
            <w:vAlign w:val="center"/>
          </w:tcPr>
          <w:p>
            <w:pPr>
              <w:spacing w:after="40"/>
            </w:pPr>
            <w:r>
              <w:rPr>
                <w:rFonts w:ascii="Microsoft YaHei" w:hAnsi="Microsoft YaHei" w:eastAsia="Microsoft YaHei"/>
                <w:sz w:val="18"/>
              </w:rPr>
              <w:t>决策支持</w:t>
            </w:r>
          </w:p>
        </w:tc>
        <w:tc>
          <w:tcPr>
            <w:tcW w:type="dxa" w:w="3888"/>
            <w:vAlign w:val="center"/>
          </w:tcPr>
          <w:p>
            <w:pPr>
              <w:spacing w:after="40"/>
            </w:pPr>
            <w:r>
              <w:rPr>
                <w:rFonts w:ascii="Microsoft YaHei" w:hAnsi="Microsoft YaHei" w:eastAsia="Microsoft YaHei"/>
                <w:sz w:val="18"/>
              </w:rPr>
              <w:t>按 8080-8092 区间登记；冲突时由启动脚本自动提示备用端口</w:t>
            </w:r>
          </w:p>
        </w:tc>
      </w:tr>
    </w:tbl>
    <w:p/>
    <w:p>
      <w:pPr>
        <w:pStyle w:val="Heading2"/>
      </w:pPr>
      <w:r>
        <w:rPr>
          <w:rFonts w:ascii="Microsoft YaHei" w:hAnsi="Microsoft YaHei" w:eastAsia="Microsoft YaHei"/>
          <w:b/>
          <w:color w:val="2E74B5"/>
          <w:sz w:val="26"/>
        </w:rPr>
        <w:t>A.2 关键 SQL 脚本清单</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3168"/>
            <w:shd w:fill="E8EEF5"/>
            <w:vAlign w:val="center"/>
          </w:tcPr>
          <w:p>
            <w:pPr>
              <w:jc w:val="center"/>
            </w:pPr>
            <w:r>
              <w:rPr>
                <w:rFonts w:ascii="Microsoft YaHei" w:hAnsi="Microsoft YaHei" w:eastAsia="Microsoft YaHei"/>
                <w:b/>
                <w:sz w:val="18"/>
              </w:rPr>
              <w:t>脚本</w:t>
            </w:r>
          </w:p>
        </w:tc>
        <w:tc>
          <w:tcPr>
            <w:tcW w:type="dxa" w:w="1944"/>
            <w:shd w:fill="E8EEF5"/>
            <w:vAlign w:val="center"/>
          </w:tcPr>
          <w:p>
            <w:pPr>
              <w:jc w:val="center"/>
            </w:pPr>
            <w:r>
              <w:rPr>
                <w:rFonts w:ascii="Microsoft YaHei" w:hAnsi="Microsoft YaHei" w:eastAsia="Microsoft YaHei"/>
                <w:b/>
                <w:sz w:val="18"/>
              </w:rPr>
              <w:t>类别</w:t>
            </w:r>
          </w:p>
        </w:tc>
        <w:tc>
          <w:tcPr>
            <w:tcW w:type="dxa" w:w="4320"/>
            <w:shd w:fill="E8EEF5"/>
            <w:vAlign w:val="center"/>
          </w:tcPr>
          <w:p>
            <w:pPr>
              <w:jc w:val="center"/>
            </w:pPr>
            <w:r>
              <w:rPr>
                <w:rFonts w:ascii="Microsoft YaHei" w:hAnsi="Microsoft YaHei" w:eastAsia="Microsoft YaHei"/>
                <w:b/>
                <w:sz w:val="18"/>
              </w:rPr>
              <w:t>说明</w:t>
            </w:r>
          </w:p>
        </w:tc>
      </w:tr>
      <w:tr>
        <w:tc>
          <w:tcPr>
            <w:tcW w:type="dxa" w:w="3168"/>
            <w:vAlign w:val="center"/>
          </w:tcPr>
          <w:p>
            <w:pPr>
              <w:spacing w:after="40"/>
            </w:pPr>
            <w:r>
              <w:rPr>
                <w:rFonts w:ascii="Microsoft YaHei" w:hAnsi="Microsoft YaHei" w:eastAsia="Microsoft YaHei"/>
                <w:sz w:val="18"/>
              </w:rPr>
              <w:t>app_center_schema.sql</w:t>
            </w:r>
          </w:p>
        </w:tc>
        <w:tc>
          <w:tcPr>
            <w:tcW w:type="dxa" w:w="1944"/>
            <w:vAlign w:val="center"/>
          </w:tcPr>
          <w:p>
            <w:pPr>
              <w:spacing w:after="40"/>
            </w:pPr>
            <w:r>
              <w:rPr>
                <w:rFonts w:ascii="Microsoft YaHei" w:hAnsi="Microsoft YaHei" w:eastAsia="Microsoft YaHei"/>
                <w:sz w:val="18"/>
              </w:rPr>
              <w:t>应用中心</w:t>
            </w:r>
          </w:p>
        </w:tc>
        <w:tc>
          <w:tcPr>
            <w:tcW w:type="dxa" w:w="4320"/>
            <w:vAlign w:val="center"/>
          </w:tcPr>
          <w:p>
            <w:pPr>
              <w:spacing w:after="40"/>
            </w:pPr>
            <w:r>
              <w:rPr>
                <w:rFonts w:ascii="Microsoft YaHei" w:hAnsi="Microsoft YaHei" w:eastAsia="Microsoft YaHei"/>
                <w:sz w:val="18"/>
              </w:rPr>
              <w:t>应用分类、应用、发布路由、状态映射、执行日志和辅助函数</w:t>
            </w:r>
          </w:p>
        </w:tc>
      </w:tr>
      <w:tr>
        <w:tc>
          <w:tcPr>
            <w:tcW w:type="dxa" w:w="3168"/>
            <w:vAlign w:val="center"/>
          </w:tcPr>
          <w:p>
            <w:pPr>
              <w:spacing w:after="40"/>
            </w:pPr>
            <w:r>
              <w:rPr>
                <w:rFonts w:ascii="Microsoft YaHei" w:hAnsi="Microsoft YaHei" w:eastAsia="Microsoft YaHei"/>
                <w:sz w:val="18"/>
              </w:rPr>
              <w:t>inventory_schema.sql</w:t>
            </w:r>
          </w:p>
        </w:tc>
        <w:tc>
          <w:tcPr>
            <w:tcW w:type="dxa" w:w="1944"/>
            <w:vAlign w:val="center"/>
          </w:tcPr>
          <w:p>
            <w:pPr>
              <w:spacing w:after="40"/>
            </w:pPr>
            <w:r>
              <w:rPr>
                <w:rFonts w:ascii="Microsoft YaHei" w:hAnsi="Microsoft YaHei" w:eastAsia="Microsoft YaHei"/>
                <w:sz w:val="18"/>
              </w:rPr>
              <w:t>仓储库存</w:t>
            </w:r>
          </w:p>
        </w:tc>
        <w:tc>
          <w:tcPr>
            <w:tcW w:type="dxa" w:w="4320"/>
            <w:vAlign w:val="center"/>
          </w:tcPr>
          <w:p>
            <w:pPr>
              <w:spacing w:after="40"/>
            </w:pPr>
            <w:r>
              <w:rPr>
                <w:rFonts w:ascii="Microsoft YaHei" w:hAnsi="Microsoft YaHei" w:eastAsia="Microsoft YaHei"/>
                <w:sz w:val="18"/>
              </w:rPr>
              <w:t>批次号规则、仓库、库存批次、库存交易、盘点和 stock_in/out/adjust</w:t>
            </w:r>
          </w:p>
        </w:tc>
      </w:tr>
      <w:tr>
        <w:tc>
          <w:tcPr>
            <w:tcW w:type="dxa" w:w="3168"/>
            <w:vAlign w:val="center"/>
          </w:tcPr>
          <w:p>
            <w:pPr>
              <w:spacing w:after="40"/>
            </w:pPr>
            <w:r>
              <w:rPr>
                <w:rFonts w:ascii="Microsoft YaHei" w:hAnsi="Microsoft YaHei" w:eastAsia="Microsoft YaHei"/>
                <w:sz w:val="18"/>
              </w:rPr>
              <w:t>workflow_schema.sql / workflow_runtime_patch.sql</w:t>
            </w:r>
          </w:p>
        </w:tc>
        <w:tc>
          <w:tcPr>
            <w:tcW w:type="dxa" w:w="1944"/>
            <w:vAlign w:val="center"/>
          </w:tcPr>
          <w:p>
            <w:pPr>
              <w:spacing w:after="40"/>
            </w:pPr>
            <w:r>
              <w:rPr>
                <w:rFonts w:ascii="Microsoft YaHei" w:hAnsi="Microsoft YaHei" w:eastAsia="Microsoft YaHei"/>
                <w:sz w:val="18"/>
              </w:rPr>
              <w:t>工作流</w:t>
            </w:r>
          </w:p>
        </w:tc>
        <w:tc>
          <w:tcPr>
            <w:tcW w:type="dxa" w:w="4320"/>
            <w:vAlign w:val="center"/>
          </w:tcPr>
          <w:p>
            <w:pPr>
              <w:spacing w:after="40"/>
            </w:pPr>
            <w:r>
              <w:rPr>
                <w:rFonts w:ascii="Microsoft YaHei" w:hAnsi="Microsoft YaHei" w:eastAsia="Microsoft YaHei"/>
                <w:sz w:val="18"/>
              </w:rPr>
              <w:t>流程定义、实例、任务、事件和运行时 RPC</w:t>
            </w:r>
          </w:p>
        </w:tc>
      </w:tr>
      <w:tr>
        <w:tc>
          <w:tcPr>
            <w:tcW w:type="dxa" w:w="3168"/>
            <w:vAlign w:val="center"/>
          </w:tcPr>
          <w:p>
            <w:pPr>
              <w:spacing w:after="40"/>
            </w:pPr>
            <w:r>
              <w:rPr>
                <w:rFonts w:ascii="Microsoft YaHei" w:hAnsi="Microsoft YaHei" w:eastAsia="Microsoft YaHei"/>
                <w:sz w:val="18"/>
              </w:rPr>
              <w:t>patch_workflow_policy_v2.sql</w:t>
            </w:r>
          </w:p>
        </w:tc>
        <w:tc>
          <w:tcPr>
            <w:tcW w:type="dxa" w:w="1944"/>
            <w:vAlign w:val="center"/>
          </w:tcPr>
          <w:p>
            <w:pPr>
              <w:spacing w:after="40"/>
            </w:pPr>
            <w:r>
              <w:rPr>
                <w:rFonts w:ascii="Microsoft YaHei" w:hAnsi="Microsoft YaHei" w:eastAsia="Microsoft YaHei"/>
                <w:sz w:val="18"/>
              </w:rPr>
              <w:t>工作流治理</w:t>
            </w:r>
          </w:p>
        </w:tc>
        <w:tc>
          <w:tcPr>
            <w:tcW w:type="dxa" w:w="4320"/>
            <w:vAlign w:val="center"/>
          </w:tcPr>
          <w:p>
            <w:pPr>
              <w:spacing w:after="40"/>
            </w:pPr>
            <w:r>
              <w:rPr>
                <w:rFonts w:ascii="Microsoft YaHei" w:hAnsi="Microsoft YaHei" w:eastAsia="Microsoft YaHei"/>
                <w:sz w:val="18"/>
              </w:rPr>
              <w:t>流程权限和状态策略增强</w:t>
            </w:r>
          </w:p>
        </w:tc>
      </w:tr>
      <w:tr>
        <w:tc>
          <w:tcPr>
            <w:tcW w:type="dxa" w:w="3168"/>
            <w:vAlign w:val="center"/>
          </w:tcPr>
          <w:p>
            <w:pPr>
              <w:spacing w:after="40"/>
            </w:pPr>
            <w:r>
              <w:rPr>
                <w:rFonts w:ascii="Microsoft YaHei" w:hAnsi="Microsoft YaHei" w:eastAsia="Microsoft YaHei"/>
                <w:sz w:val="18"/>
              </w:rPr>
              <w:t>patch_lightweight_ontology_runtime.sql</w:t>
            </w:r>
          </w:p>
        </w:tc>
        <w:tc>
          <w:tcPr>
            <w:tcW w:type="dxa" w:w="1944"/>
            <w:vAlign w:val="center"/>
          </w:tcPr>
          <w:p>
            <w:pPr>
              <w:spacing w:after="40"/>
            </w:pPr>
            <w:r>
              <w:rPr>
                <w:rFonts w:ascii="Microsoft YaHei" w:hAnsi="Microsoft YaHei" w:eastAsia="Microsoft YaHei"/>
                <w:sz w:val="18"/>
              </w:rPr>
              <w:t>本体语义</w:t>
            </w:r>
          </w:p>
        </w:tc>
        <w:tc>
          <w:tcPr>
            <w:tcW w:type="dxa" w:w="4320"/>
            <w:vAlign w:val="center"/>
          </w:tcPr>
          <w:p>
            <w:pPr>
              <w:spacing w:after="40"/>
            </w:pPr>
            <w:r>
              <w:rPr>
                <w:rFonts w:ascii="Microsoft YaHei" w:hAnsi="Microsoft YaHei" w:eastAsia="Microsoft YaHei"/>
                <w:sz w:val="18"/>
              </w:rPr>
              <w:t>轻量本体基础运行结构</w:t>
            </w:r>
          </w:p>
        </w:tc>
      </w:tr>
      <w:tr>
        <w:tc>
          <w:tcPr>
            <w:tcW w:type="dxa" w:w="3168"/>
            <w:vAlign w:val="center"/>
          </w:tcPr>
          <w:p>
            <w:pPr>
              <w:spacing w:after="40"/>
            </w:pPr>
            <w:r>
              <w:rPr>
                <w:rFonts w:ascii="Microsoft YaHei" w:hAnsi="Microsoft YaHei" w:eastAsia="Microsoft YaHei"/>
                <w:sz w:val="18"/>
              </w:rPr>
              <w:t>patch_ontology_graph_query_v1.sql</w:t>
            </w:r>
          </w:p>
        </w:tc>
        <w:tc>
          <w:tcPr>
            <w:tcW w:type="dxa" w:w="1944"/>
            <w:vAlign w:val="center"/>
          </w:tcPr>
          <w:p>
            <w:pPr>
              <w:spacing w:after="40"/>
            </w:pPr>
            <w:r>
              <w:rPr>
                <w:rFonts w:ascii="Microsoft YaHei" w:hAnsi="Microsoft YaHei" w:eastAsia="Microsoft YaHei"/>
                <w:sz w:val="18"/>
              </w:rPr>
              <w:t>本体语义</w:t>
            </w:r>
          </w:p>
        </w:tc>
        <w:tc>
          <w:tcPr>
            <w:tcW w:type="dxa" w:w="4320"/>
            <w:vAlign w:val="center"/>
          </w:tcPr>
          <w:p>
            <w:pPr>
              <w:spacing w:after="40"/>
            </w:pPr>
            <w:r>
              <w:rPr>
                <w:rFonts w:ascii="Microsoft YaHei" w:hAnsi="Microsoft YaHei" w:eastAsia="Microsoft YaHei"/>
                <w:sz w:val="18"/>
              </w:rPr>
              <w:t>图谱查询能力</w:t>
            </w:r>
          </w:p>
        </w:tc>
      </w:tr>
      <w:tr>
        <w:tc>
          <w:tcPr>
            <w:tcW w:type="dxa" w:w="3168"/>
            <w:vAlign w:val="center"/>
          </w:tcPr>
          <w:p>
            <w:pPr>
              <w:spacing w:after="40"/>
            </w:pPr>
            <w:r>
              <w:rPr>
                <w:rFonts w:ascii="Microsoft YaHei" w:hAnsi="Microsoft YaHei" w:eastAsia="Microsoft YaHei"/>
                <w:sz w:val="18"/>
              </w:rPr>
              <w:t>patch_ontology_reasoning_engine_v1.sql</w:t>
            </w:r>
          </w:p>
        </w:tc>
        <w:tc>
          <w:tcPr>
            <w:tcW w:type="dxa" w:w="1944"/>
            <w:vAlign w:val="center"/>
          </w:tcPr>
          <w:p>
            <w:pPr>
              <w:spacing w:after="40"/>
            </w:pPr>
            <w:r>
              <w:rPr>
                <w:rFonts w:ascii="Microsoft YaHei" w:hAnsi="Microsoft YaHei" w:eastAsia="Microsoft YaHei"/>
                <w:sz w:val="18"/>
              </w:rPr>
              <w:t>本体语义</w:t>
            </w:r>
          </w:p>
        </w:tc>
        <w:tc>
          <w:tcPr>
            <w:tcW w:type="dxa" w:w="4320"/>
            <w:vAlign w:val="center"/>
          </w:tcPr>
          <w:p>
            <w:pPr>
              <w:spacing w:after="40"/>
            </w:pPr>
            <w:r>
              <w:rPr>
                <w:rFonts w:ascii="Microsoft YaHei" w:hAnsi="Microsoft YaHei" w:eastAsia="Microsoft YaHei"/>
                <w:sz w:val="18"/>
              </w:rPr>
              <w:t>推理引擎能力</w:t>
            </w:r>
          </w:p>
        </w:tc>
      </w:tr>
      <w:tr>
        <w:tc>
          <w:tcPr>
            <w:tcW w:type="dxa" w:w="3168"/>
            <w:vAlign w:val="center"/>
          </w:tcPr>
          <w:p>
            <w:pPr>
              <w:spacing w:after="40"/>
            </w:pPr>
            <w:r>
              <w:rPr>
                <w:rFonts w:ascii="Microsoft YaHei" w:hAnsi="Microsoft YaHei" w:eastAsia="Microsoft YaHei"/>
                <w:sz w:val="18"/>
              </w:rPr>
              <w:t>patch_agent_ontology_secure_context_v1.sql</w:t>
            </w:r>
          </w:p>
        </w:tc>
        <w:tc>
          <w:tcPr>
            <w:tcW w:type="dxa" w:w="1944"/>
            <w:vAlign w:val="center"/>
          </w:tcPr>
          <w:p>
            <w:pPr>
              <w:spacing w:after="40"/>
            </w:pPr>
            <w:r>
              <w:rPr>
                <w:rFonts w:ascii="Microsoft YaHei" w:hAnsi="Microsoft YaHei" w:eastAsia="Microsoft YaHei"/>
                <w:sz w:val="18"/>
              </w:rPr>
              <w:t>Agent 安全</w:t>
            </w:r>
          </w:p>
        </w:tc>
        <w:tc>
          <w:tcPr>
            <w:tcW w:type="dxa" w:w="4320"/>
            <w:vAlign w:val="center"/>
          </w:tcPr>
          <w:p>
            <w:pPr>
              <w:spacing w:after="40"/>
            </w:pPr>
            <w:r>
              <w:rPr>
                <w:rFonts w:ascii="Microsoft YaHei" w:hAnsi="Microsoft YaHei" w:eastAsia="Microsoft YaHei"/>
                <w:sz w:val="18"/>
              </w:rPr>
              <w:t>按权限返回 Agent 可用语义上下文</w:t>
            </w:r>
          </w:p>
        </w:tc>
      </w:tr>
      <w:tr>
        <w:tc>
          <w:tcPr>
            <w:tcW w:type="dxa" w:w="3168"/>
            <w:vAlign w:val="center"/>
          </w:tcPr>
          <w:p>
            <w:pPr>
              <w:spacing w:after="40"/>
            </w:pPr>
            <w:r>
              <w:rPr>
                <w:rFonts w:ascii="Microsoft YaHei" w:hAnsi="Microsoft YaHei" w:eastAsia="Microsoft YaHei"/>
                <w:sz w:val="18"/>
              </w:rPr>
              <w:t>patch_ai_document_intake_mvp.sql</w:t>
            </w:r>
          </w:p>
        </w:tc>
        <w:tc>
          <w:tcPr>
            <w:tcW w:type="dxa" w:w="1944"/>
            <w:vAlign w:val="center"/>
          </w:tcPr>
          <w:p>
            <w:pPr>
              <w:spacing w:after="40"/>
            </w:pPr>
            <w:r>
              <w:rPr>
                <w:rFonts w:ascii="Microsoft YaHei" w:hAnsi="Microsoft YaHei" w:eastAsia="Microsoft YaHei"/>
                <w:sz w:val="18"/>
              </w:rPr>
              <w:t>智能收单</w:t>
            </w:r>
          </w:p>
        </w:tc>
        <w:tc>
          <w:tcPr>
            <w:tcW w:type="dxa" w:w="4320"/>
            <w:vAlign w:val="center"/>
          </w:tcPr>
          <w:p>
            <w:pPr>
              <w:spacing w:after="40"/>
            </w:pPr>
            <w:r>
              <w:rPr>
                <w:rFonts w:ascii="Microsoft YaHei" w:hAnsi="Microsoft YaHei" w:eastAsia="Microsoft YaHei"/>
                <w:sz w:val="18"/>
              </w:rPr>
              <w:t>资料采集、解析、分类、计划、入库、日志和修正表</w:t>
            </w:r>
          </w:p>
        </w:tc>
      </w:tr>
      <w:tr>
        <w:tc>
          <w:tcPr>
            <w:tcW w:type="dxa" w:w="3168"/>
            <w:vAlign w:val="center"/>
          </w:tcPr>
          <w:p>
            <w:pPr>
              <w:spacing w:after="40"/>
            </w:pPr>
            <w:r>
              <w:rPr>
                <w:rFonts w:ascii="Microsoft YaHei" w:hAnsi="Microsoft YaHei" w:eastAsia="Microsoft YaHei"/>
                <w:sz w:val="18"/>
              </w:rPr>
              <w:t>patch_document_intake_rls_hardening_v1.sql</w:t>
            </w:r>
          </w:p>
        </w:tc>
        <w:tc>
          <w:tcPr>
            <w:tcW w:type="dxa" w:w="1944"/>
            <w:vAlign w:val="center"/>
          </w:tcPr>
          <w:p>
            <w:pPr>
              <w:spacing w:after="40"/>
            </w:pPr>
            <w:r>
              <w:rPr>
                <w:rFonts w:ascii="Microsoft YaHei" w:hAnsi="Microsoft YaHei" w:eastAsia="Microsoft YaHei"/>
                <w:sz w:val="18"/>
              </w:rPr>
              <w:t>智能收单安全</w:t>
            </w:r>
          </w:p>
        </w:tc>
        <w:tc>
          <w:tcPr>
            <w:tcW w:type="dxa" w:w="4320"/>
            <w:vAlign w:val="center"/>
          </w:tcPr>
          <w:p>
            <w:pPr>
              <w:spacing w:after="40"/>
            </w:pPr>
            <w:r>
              <w:rPr>
                <w:rFonts w:ascii="Microsoft YaHei" w:hAnsi="Microsoft YaHei" w:eastAsia="Microsoft YaHei"/>
                <w:sz w:val="18"/>
              </w:rPr>
              <w:t>文档采集相关 RLS 加固</w:t>
            </w:r>
          </w:p>
        </w:tc>
      </w:tr>
      <w:tr>
        <w:tc>
          <w:tcPr>
            <w:tcW w:type="dxa" w:w="3168"/>
            <w:vAlign w:val="center"/>
          </w:tcPr>
          <w:p>
            <w:pPr>
              <w:spacing w:after="40"/>
            </w:pPr>
            <w:r>
              <w:rPr>
                <w:rFonts w:ascii="Microsoft YaHei" w:hAnsi="Microsoft YaHei" w:eastAsia="Microsoft YaHei"/>
                <w:sz w:val="18"/>
              </w:rPr>
              <w:t>sales_demo_schema.sql / purchase_demo_schema.sql</w:t>
            </w:r>
          </w:p>
        </w:tc>
        <w:tc>
          <w:tcPr>
            <w:tcW w:type="dxa" w:w="1944"/>
            <w:vAlign w:val="center"/>
          </w:tcPr>
          <w:p>
            <w:pPr>
              <w:spacing w:after="40"/>
            </w:pPr>
            <w:r>
              <w:rPr>
                <w:rFonts w:ascii="Microsoft YaHei" w:hAnsi="Microsoft YaHei" w:eastAsia="Microsoft YaHei"/>
                <w:sz w:val="18"/>
              </w:rPr>
              <w:t>业务模块</w:t>
            </w:r>
          </w:p>
        </w:tc>
        <w:tc>
          <w:tcPr>
            <w:tcW w:type="dxa" w:w="4320"/>
            <w:vAlign w:val="center"/>
          </w:tcPr>
          <w:p>
            <w:pPr>
              <w:spacing w:after="40"/>
            </w:pPr>
            <w:r>
              <w:rPr>
                <w:rFonts w:ascii="Microsoft YaHei" w:hAnsi="Microsoft YaHei" w:eastAsia="Microsoft YaHei"/>
                <w:sz w:val="18"/>
              </w:rPr>
              <w:t>销售与采购演示结构</w:t>
            </w:r>
          </w:p>
        </w:tc>
      </w:tr>
      <w:tr>
        <w:tc>
          <w:tcPr>
            <w:tcW w:type="dxa" w:w="3168"/>
            <w:vAlign w:val="center"/>
          </w:tcPr>
          <w:p>
            <w:pPr>
              <w:spacing w:after="40"/>
            </w:pPr>
            <w:r>
              <w:rPr>
                <w:rFonts w:ascii="Microsoft YaHei" w:hAnsi="Microsoft YaHei" w:eastAsia="Microsoft YaHei"/>
                <w:sz w:val="18"/>
              </w:rPr>
              <w:t>production_bom_work_orders.sql</w:t>
            </w:r>
          </w:p>
        </w:tc>
        <w:tc>
          <w:tcPr>
            <w:tcW w:type="dxa" w:w="1944"/>
            <w:vAlign w:val="center"/>
          </w:tcPr>
          <w:p>
            <w:pPr>
              <w:spacing w:after="40"/>
            </w:pPr>
            <w:r>
              <w:rPr>
                <w:rFonts w:ascii="Microsoft YaHei" w:hAnsi="Microsoft YaHei" w:eastAsia="Microsoft YaHei"/>
                <w:sz w:val="18"/>
              </w:rPr>
              <w:t>生产模块</w:t>
            </w:r>
          </w:p>
        </w:tc>
        <w:tc>
          <w:tcPr>
            <w:tcW w:type="dxa" w:w="4320"/>
            <w:vAlign w:val="center"/>
          </w:tcPr>
          <w:p>
            <w:pPr>
              <w:spacing w:after="40"/>
            </w:pPr>
            <w:r>
              <w:rPr>
                <w:rFonts w:ascii="Microsoft YaHei" w:hAnsi="Microsoft YaHei" w:eastAsia="Microsoft YaHei"/>
                <w:sz w:val="18"/>
              </w:rPr>
              <w:t>BOM 和工单相关结构</w:t>
            </w:r>
          </w:p>
        </w:tc>
      </w:tr>
      <w:tr>
        <w:tc>
          <w:tcPr>
            <w:tcW w:type="dxa" w:w="3168"/>
            <w:vAlign w:val="center"/>
          </w:tcPr>
          <w:p>
            <w:pPr>
              <w:spacing w:after="40"/>
            </w:pPr>
            <w:r>
              <w:rPr>
                <w:rFonts w:ascii="Microsoft YaHei" w:hAnsi="Microsoft YaHei" w:eastAsia="Microsoft YaHei"/>
                <w:sz w:val="18"/>
              </w:rPr>
              <w:t>quality_demo_schema.sql / equipment_demo_schema.sql</w:t>
            </w:r>
          </w:p>
        </w:tc>
        <w:tc>
          <w:tcPr>
            <w:tcW w:type="dxa" w:w="1944"/>
            <w:vAlign w:val="center"/>
          </w:tcPr>
          <w:p>
            <w:pPr>
              <w:spacing w:after="40"/>
            </w:pPr>
            <w:r>
              <w:rPr>
                <w:rFonts w:ascii="Microsoft YaHei" w:hAnsi="Microsoft YaHei" w:eastAsia="Microsoft YaHei"/>
                <w:sz w:val="18"/>
              </w:rPr>
              <w:t>业务模块</w:t>
            </w:r>
          </w:p>
        </w:tc>
        <w:tc>
          <w:tcPr>
            <w:tcW w:type="dxa" w:w="4320"/>
            <w:vAlign w:val="center"/>
          </w:tcPr>
          <w:p>
            <w:pPr>
              <w:spacing w:after="40"/>
            </w:pPr>
            <w:r>
              <w:rPr>
                <w:rFonts w:ascii="Microsoft YaHei" w:hAnsi="Microsoft YaHei" w:eastAsia="Microsoft YaHei"/>
                <w:sz w:val="18"/>
              </w:rPr>
              <w:t>质量和设备演示结构</w:t>
            </w:r>
          </w:p>
        </w:tc>
      </w:tr>
    </w:tbl>
    <w:p/>
    <w:p>
      <w:pPr>
        <w:pStyle w:val="Heading2"/>
      </w:pPr>
      <w:r>
        <w:rPr>
          <w:rFonts w:ascii="Microsoft YaHei" w:hAnsi="Microsoft YaHei" w:eastAsia="Microsoft YaHei"/>
          <w:b/>
          <w:color w:val="2E74B5"/>
          <w:sz w:val="26"/>
        </w:rPr>
        <w:t>A.3 文档采集核心表清单</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c>
          <w:tcPr>
            <w:tcW w:type="dxa" w:w="3240"/>
            <w:shd w:fill="E8EEF5"/>
            <w:vAlign w:val="center"/>
          </w:tcPr>
          <w:p>
            <w:pPr>
              <w:jc w:val="center"/>
            </w:pPr>
            <w:r>
              <w:rPr>
                <w:rFonts w:ascii="Microsoft YaHei" w:hAnsi="Microsoft YaHei" w:eastAsia="Microsoft YaHei"/>
                <w:b/>
                <w:sz w:val="18"/>
              </w:rPr>
              <w:t>表</w:t>
            </w:r>
          </w:p>
        </w:tc>
        <w:tc>
          <w:tcPr>
            <w:tcW w:type="dxa" w:w="6120"/>
            <w:shd w:fill="E8EEF5"/>
            <w:vAlign w:val="center"/>
          </w:tcPr>
          <w:p>
            <w:pPr>
              <w:jc w:val="center"/>
            </w:pPr>
            <w:r>
              <w:rPr>
                <w:rFonts w:ascii="Microsoft YaHei" w:hAnsi="Microsoft YaHei" w:eastAsia="Microsoft YaHei"/>
                <w:b/>
                <w:sz w:val="18"/>
              </w:rPr>
              <w:t>说明</w:t>
            </w:r>
          </w:p>
        </w:tc>
      </w:tr>
      <w:tr>
        <w:tc>
          <w:tcPr>
            <w:tcW w:type="dxa" w:w="3240"/>
            <w:vAlign w:val="center"/>
          </w:tcPr>
          <w:p>
            <w:pPr>
              <w:spacing w:after="40"/>
            </w:pPr>
            <w:r>
              <w:rPr>
                <w:rFonts w:ascii="Microsoft YaHei" w:hAnsi="Microsoft YaHei" w:eastAsia="Microsoft YaHei"/>
                <w:sz w:val="18"/>
              </w:rPr>
              <w:t>collector_devices</w:t>
            </w:r>
          </w:p>
        </w:tc>
        <w:tc>
          <w:tcPr>
            <w:tcW w:type="dxa" w:w="6120"/>
            <w:vAlign w:val="center"/>
          </w:tcPr>
          <w:p>
            <w:pPr>
              <w:spacing w:after="40"/>
            </w:pPr>
            <w:r>
              <w:rPr>
                <w:rFonts w:ascii="Microsoft YaHei" w:hAnsi="Microsoft YaHei" w:eastAsia="Microsoft YaHei"/>
                <w:sz w:val="18"/>
              </w:rPr>
              <w:t>采集设备、绑定信息、远程配置和心跳状态</w:t>
            </w:r>
          </w:p>
        </w:tc>
      </w:tr>
      <w:tr>
        <w:tc>
          <w:tcPr>
            <w:tcW w:type="dxa" w:w="3240"/>
            <w:vAlign w:val="center"/>
          </w:tcPr>
          <w:p>
            <w:pPr>
              <w:spacing w:after="40"/>
            </w:pPr>
            <w:r>
              <w:rPr>
                <w:rFonts w:ascii="Microsoft YaHei" w:hAnsi="Microsoft YaHei" w:eastAsia="Microsoft YaHei"/>
                <w:sz w:val="18"/>
              </w:rPr>
              <w:t>collector_watch_folders</w:t>
            </w:r>
          </w:p>
        </w:tc>
        <w:tc>
          <w:tcPr>
            <w:tcW w:type="dxa" w:w="6120"/>
            <w:vAlign w:val="center"/>
          </w:tcPr>
          <w:p>
            <w:pPr>
              <w:spacing w:after="40"/>
            </w:pPr>
            <w:r>
              <w:rPr>
                <w:rFonts w:ascii="Microsoft YaHei" w:hAnsi="Microsoft YaHei" w:eastAsia="Microsoft YaHei"/>
                <w:sz w:val="18"/>
              </w:rPr>
              <w:t>设备监听目录和默认业务归属</w:t>
            </w:r>
          </w:p>
        </w:tc>
      </w:tr>
      <w:tr>
        <w:tc>
          <w:tcPr>
            <w:tcW w:type="dxa" w:w="3240"/>
            <w:vAlign w:val="center"/>
          </w:tcPr>
          <w:p>
            <w:pPr>
              <w:spacing w:after="40"/>
            </w:pPr>
            <w:r>
              <w:rPr>
                <w:rFonts w:ascii="Microsoft YaHei" w:hAnsi="Microsoft YaHei" w:eastAsia="Microsoft YaHei"/>
                <w:sz w:val="18"/>
              </w:rPr>
              <w:t>document_import_batches</w:t>
            </w:r>
          </w:p>
        </w:tc>
        <w:tc>
          <w:tcPr>
            <w:tcW w:type="dxa" w:w="6120"/>
            <w:vAlign w:val="center"/>
          </w:tcPr>
          <w:p>
            <w:pPr>
              <w:spacing w:after="40"/>
            </w:pPr>
            <w:r>
              <w:rPr>
                <w:rFonts w:ascii="Microsoft YaHei" w:hAnsi="Microsoft YaHei" w:eastAsia="Microsoft YaHei"/>
                <w:sz w:val="18"/>
              </w:rPr>
              <w:t>导入批次，用于组织一组资料</w:t>
            </w:r>
          </w:p>
        </w:tc>
      </w:tr>
      <w:tr>
        <w:tc>
          <w:tcPr>
            <w:tcW w:type="dxa" w:w="3240"/>
            <w:vAlign w:val="center"/>
          </w:tcPr>
          <w:p>
            <w:pPr>
              <w:spacing w:after="40"/>
            </w:pPr>
            <w:r>
              <w:rPr>
                <w:rFonts w:ascii="Microsoft YaHei" w:hAnsi="Microsoft YaHei" w:eastAsia="Microsoft YaHei"/>
                <w:sz w:val="18"/>
              </w:rPr>
              <w:t>document_assets</w:t>
            </w:r>
          </w:p>
        </w:tc>
        <w:tc>
          <w:tcPr>
            <w:tcW w:type="dxa" w:w="6120"/>
            <w:vAlign w:val="center"/>
          </w:tcPr>
          <w:p>
            <w:pPr>
              <w:spacing w:after="40"/>
            </w:pPr>
            <w:r>
              <w:rPr>
                <w:rFonts w:ascii="Microsoft YaHei" w:hAnsi="Microsoft YaHei" w:eastAsia="Microsoft YaHei"/>
                <w:sz w:val="18"/>
              </w:rPr>
              <w:t>原始文件资产、hash、来源、上传人和状态</w:t>
            </w:r>
          </w:p>
        </w:tc>
      </w:tr>
      <w:tr>
        <w:tc>
          <w:tcPr>
            <w:tcW w:type="dxa" w:w="3240"/>
            <w:vAlign w:val="center"/>
          </w:tcPr>
          <w:p>
            <w:pPr>
              <w:spacing w:after="40"/>
            </w:pPr>
            <w:r>
              <w:rPr>
                <w:rFonts w:ascii="Microsoft YaHei" w:hAnsi="Microsoft YaHei" w:eastAsia="Microsoft YaHei"/>
                <w:sz w:val="18"/>
              </w:rPr>
              <w:t>document_upload_sessions / chunks</w:t>
            </w:r>
          </w:p>
        </w:tc>
        <w:tc>
          <w:tcPr>
            <w:tcW w:type="dxa" w:w="6120"/>
            <w:vAlign w:val="center"/>
          </w:tcPr>
          <w:p>
            <w:pPr>
              <w:spacing w:after="40"/>
            </w:pPr>
            <w:r>
              <w:rPr>
                <w:rFonts w:ascii="Microsoft YaHei" w:hAnsi="Microsoft YaHei" w:eastAsia="Microsoft YaHei"/>
                <w:sz w:val="18"/>
              </w:rPr>
              <w:t>分片上传会话和断点续传数据</w:t>
            </w:r>
          </w:p>
        </w:tc>
      </w:tr>
      <w:tr>
        <w:tc>
          <w:tcPr>
            <w:tcW w:type="dxa" w:w="3240"/>
            <w:vAlign w:val="center"/>
          </w:tcPr>
          <w:p>
            <w:pPr>
              <w:spacing w:after="40"/>
            </w:pPr>
            <w:r>
              <w:rPr>
                <w:rFonts w:ascii="Microsoft YaHei" w:hAnsi="Microsoft YaHei" w:eastAsia="Microsoft YaHei"/>
                <w:sz w:val="18"/>
              </w:rPr>
              <w:t>document_parse_jobs</w:t>
            </w:r>
          </w:p>
        </w:tc>
        <w:tc>
          <w:tcPr>
            <w:tcW w:type="dxa" w:w="6120"/>
            <w:vAlign w:val="center"/>
          </w:tcPr>
          <w:p>
            <w:pPr>
              <w:spacing w:after="40"/>
            </w:pPr>
            <w:r>
              <w:rPr>
                <w:rFonts w:ascii="Microsoft YaHei" w:hAnsi="Microsoft YaHei" w:eastAsia="Microsoft YaHei"/>
                <w:sz w:val="18"/>
              </w:rPr>
              <w:t>解析任务队列</w:t>
            </w:r>
          </w:p>
        </w:tc>
      </w:tr>
      <w:tr>
        <w:tc>
          <w:tcPr>
            <w:tcW w:type="dxa" w:w="3240"/>
            <w:vAlign w:val="center"/>
          </w:tcPr>
          <w:p>
            <w:pPr>
              <w:spacing w:after="40"/>
            </w:pPr>
            <w:r>
              <w:rPr>
                <w:rFonts w:ascii="Microsoft YaHei" w:hAnsi="Microsoft YaHei" w:eastAsia="Microsoft YaHei"/>
                <w:sz w:val="18"/>
              </w:rPr>
              <w:t>document_parse_results</w:t>
            </w:r>
          </w:p>
        </w:tc>
        <w:tc>
          <w:tcPr>
            <w:tcW w:type="dxa" w:w="6120"/>
            <w:vAlign w:val="center"/>
          </w:tcPr>
          <w:p>
            <w:pPr>
              <w:spacing w:after="40"/>
            </w:pPr>
            <w:r>
              <w:rPr>
                <w:rFonts w:ascii="Microsoft YaHei" w:hAnsi="Microsoft YaHei" w:eastAsia="Microsoft YaHei"/>
                <w:sz w:val="18"/>
              </w:rPr>
              <w:t>解析文本、表格和结构化结果</w:t>
            </w:r>
          </w:p>
        </w:tc>
      </w:tr>
      <w:tr>
        <w:tc>
          <w:tcPr>
            <w:tcW w:type="dxa" w:w="3240"/>
            <w:vAlign w:val="center"/>
          </w:tcPr>
          <w:p>
            <w:pPr>
              <w:spacing w:after="40"/>
            </w:pPr>
            <w:r>
              <w:rPr>
                <w:rFonts w:ascii="Microsoft YaHei" w:hAnsi="Microsoft YaHei" w:eastAsia="Microsoft YaHei"/>
                <w:sz w:val="18"/>
              </w:rPr>
              <w:t>document_classification_results</w:t>
            </w:r>
          </w:p>
        </w:tc>
        <w:tc>
          <w:tcPr>
            <w:tcW w:type="dxa" w:w="6120"/>
            <w:vAlign w:val="center"/>
          </w:tcPr>
          <w:p>
            <w:pPr>
              <w:spacing w:after="40"/>
            </w:pPr>
            <w:r>
              <w:rPr>
                <w:rFonts w:ascii="Microsoft YaHei" w:hAnsi="Microsoft YaHei" w:eastAsia="Microsoft YaHei"/>
                <w:sz w:val="18"/>
              </w:rPr>
              <w:t>业务类型分类、单据数量判断和置信度</w:t>
            </w:r>
          </w:p>
        </w:tc>
      </w:tr>
      <w:tr>
        <w:tc>
          <w:tcPr>
            <w:tcW w:type="dxa" w:w="3240"/>
            <w:vAlign w:val="center"/>
          </w:tcPr>
          <w:p>
            <w:pPr>
              <w:spacing w:after="40"/>
            </w:pPr>
            <w:r>
              <w:rPr>
                <w:rFonts w:ascii="Microsoft YaHei" w:hAnsi="Microsoft YaHei" w:eastAsia="Microsoft YaHei"/>
                <w:sz w:val="18"/>
              </w:rPr>
              <w:t>document_entry_plans</w:t>
            </w:r>
          </w:p>
        </w:tc>
        <w:tc>
          <w:tcPr>
            <w:tcW w:type="dxa" w:w="6120"/>
            <w:vAlign w:val="center"/>
          </w:tcPr>
          <w:p>
            <w:pPr>
              <w:spacing w:after="40"/>
            </w:pPr>
            <w:r>
              <w:rPr>
                <w:rFonts w:ascii="Microsoft YaHei" w:hAnsi="Microsoft YaHei" w:eastAsia="Microsoft YaHei"/>
                <w:sz w:val="18"/>
              </w:rPr>
              <w:t>目标表、字段映射、备注和未匹配字段计划</w:t>
            </w:r>
          </w:p>
        </w:tc>
      </w:tr>
      <w:tr>
        <w:tc>
          <w:tcPr>
            <w:tcW w:type="dxa" w:w="3240"/>
            <w:vAlign w:val="center"/>
          </w:tcPr>
          <w:p>
            <w:pPr>
              <w:spacing w:after="40"/>
            </w:pPr>
            <w:r>
              <w:rPr>
                <w:rFonts w:ascii="Microsoft YaHei" w:hAnsi="Microsoft YaHei" w:eastAsia="Microsoft YaHei"/>
                <w:sz w:val="18"/>
              </w:rPr>
              <w:t>document_business_links</w:t>
            </w:r>
          </w:p>
        </w:tc>
        <w:tc>
          <w:tcPr>
            <w:tcW w:type="dxa" w:w="6120"/>
            <w:vAlign w:val="center"/>
          </w:tcPr>
          <w:p>
            <w:pPr>
              <w:spacing w:after="40"/>
            </w:pPr>
            <w:r>
              <w:rPr>
                <w:rFonts w:ascii="Microsoft YaHei" w:hAnsi="Microsoft YaHei" w:eastAsia="Microsoft YaHei"/>
                <w:sz w:val="18"/>
              </w:rPr>
              <w:t>资料资产与生成业务单据的链接</w:t>
            </w:r>
          </w:p>
        </w:tc>
      </w:tr>
      <w:tr>
        <w:tc>
          <w:tcPr>
            <w:tcW w:type="dxa" w:w="3240"/>
            <w:vAlign w:val="center"/>
          </w:tcPr>
          <w:p>
            <w:pPr>
              <w:spacing w:after="40"/>
            </w:pPr>
            <w:r>
              <w:rPr>
                <w:rFonts w:ascii="Microsoft YaHei" w:hAnsi="Microsoft YaHei" w:eastAsia="Microsoft YaHei"/>
                <w:sz w:val="18"/>
              </w:rPr>
              <w:t>document_unmapped_fields</w:t>
            </w:r>
          </w:p>
        </w:tc>
        <w:tc>
          <w:tcPr>
            <w:tcW w:type="dxa" w:w="6120"/>
            <w:vAlign w:val="center"/>
          </w:tcPr>
          <w:p>
            <w:pPr>
              <w:spacing w:after="40"/>
            </w:pPr>
            <w:r>
              <w:rPr>
                <w:rFonts w:ascii="Microsoft YaHei" w:hAnsi="Microsoft YaHei" w:eastAsia="Microsoft YaHei"/>
                <w:sz w:val="18"/>
              </w:rPr>
              <w:t>资料中识别到但当前表暂无字段的内容</w:t>
            </w:r>
          </w:p>
        </w:tc>
      </w:tr>
      <w:tr>
        <w:tc>
          <w:tcPr>
            <w:tcW w:type="dxa" w:w="3240"/>
            <w:vAlign w:val="center"/>
          </w:tcPr>
          <w:p>
            <w:pPr>
              <w:spacing w:after="40"/>
            </w:pPr>
            <w:r>
              <w:rPr>
                <w:rFonts w:ascii="Microsoft YaHei" w:hAnsi="Microsoft YaHei" w:eastAsia="Microsoft YaHei"/>
                <w:sz w:val="18"/>
              </w:rPr>
              <w:t>ai_business_corrections</w:t>
            </w:r>
          </w:p>
        </w:tc>
        <w:tc>
          <w:tcPr>
            <w:tcW w:type="dxa" w:w="6120"/>
            <w:vAlign w:val="center"/>
          </w:tcPr>
          <w:p>
            <w:pPr>
              <w:spacing w:after="40"/>
            </w:pPr>
            <w:r>
              <w:rPr>
                <w:rFonts w:ascii="Microsoft YaHei" w:hAnsi="Microsoft YaHei" w:eastAsia="Microsoft YaHei"/>
                <w:sz w:val="18"/>
              </w:rPr>
              <w:t>用户修正记录，用于追溯和后续学习</w:t>
            </w:r>
          </w:p>
        </w:tc>
      </w:tr>
      <w:tr>
        <w:tc>
          <w:tcPr>
            <w:tcW w:type="dxa" w:w="3240"/>
            <w:vAlign w:val="center"/>
          </w:tcPr>
          <w:p>
            <w:pPr>
              <w:spacing w:after="40"/>
            </w:pPr>
            <w:r>
              <w:rPr>
                <w:rFonts w:ascii="Microsoft YaHei" w:hAnsi="Microsoft YaHei" w:eastAsia="Microsoft YaHei"/>
                <w:sz w:val="18"/>
              </w:rPr>
              <w:t>client_log_sessions / events</w:t>
            </w:r>
          </w:p>
        </w:tc>
        <w:tc>
          <w:tcPr>
            <w:tcW w:type="dxa" w:w="6120"/>
            <w:vAlign w:val="center"/>
          </w:tcPr>
          <w:p>
            <w:pPr>
              <w:spacing w:after="40"/>
            </w:pPr>
            <w:r>
              <w:rPr>
                <w:rFonts w:ascii="Microsoft YaHei" w:hAnsi="Microsoft YaHei" w:eastAsia="Microsoft YaHei"/>
                <w:sz w:val="18"/>
              </w:rPr>
              <w:t>采集端和前端日志会话、事件和错误信息</w:t>
            </w:r>
          </w:p>
        </w:tc>
      </w:tr>
    </w:tbl>
    <w:p/>
    <w:p>
      <w:pPr>
        <w:pStyle w:val="Heading2"/>
      </w:pPr>
      <w:r>
        <w:rPr>
          <w:rFonts w:ascii="Microsoft YaHei" w:hAnsi="Microsoft YaHei" w:eastAsia="Microsoft YaHei"/>
          <w:b/>
          <w:color w:val="2E74B5"/>
          <w:sz w:val="26"/>
        </w:rPr>
        <w:t>A.4 推荐运维检查项</w:t>
      </w:r>
    </w:p>
    <w:p>
      <w:pPr>
        <w:pStyle w:val="ListBullet"/>
      </w:pPr>
      <w:r>
        <w:rPr>
          <w:rFonts w:ascii="Microsoft YaHei" w:hAnsi="Microsoft YaHei" w:eastAsia="Microsoft YaHei"/>
          <w:sz w:val="20"/>
        </w:rPr>
        <w:t>每日检查 PostgreSQL 容器、PostgREST、Nginx、Agent Runtime 和磁盘容量。</w:t>
      </w:r>
    </w:p>
    <w:p>
      <w:pPr>
        <w:pStyle w:val="ListBullet"/>
      </w:pPr>
      <w:r>
        <w:rPr>
          <w:rFonts w:ascii="Microsoft YaHei" w:hAnsi="Microsoft YaHei" w:eastAsia="Microsoft YaHei"/>
          <w:sz w:val="20"/>
        </w:rPr>
        <w:t>每日检查数据库备份是否生成，并定期做恢复演练。</w:t>
      </w:r>
    </w:p>
    <w:p>
      <w:pPr>
        <w:pStyle w:val="ListBullet"/>
      </w:pPr>
      <w:r>
        <w:rPr>
          <w:rFonts w:ascii="Microsoft YaHei" w:hAnsi="Microsoft YaHei" w:eastAsia="Microsoft YaHei"/>
          <w:sz w:val="20"/>
        </w:rPr>
        <w:t>每次发布前执行 SQL patch dry-run、语法门禁、受影响单元回归和前端构建。</w:t>
      </w:r>
    </w:p>
    <w:p>
      <w:pPr>
        <w:pStyle w:val="ListBullet"/>
      </w:pPr>
      <w:r>
        <w:rPr>
          <w:rFonts w:ascii="Microsoft YaHei" w:hAnsi="Microsoft YaHei" w:eastAsia="Microsoft YaHei"/>
          <w:sz w:val="20"/>
        </w:rPr>
        <w:t>每次采集端发布前校验 manifest、下载地址、SHA256、安装器静默参数和版本号。</w:t>
      </w:r>
    </w:p>
    <w:p>
      <w:pPr>
        <w:pStyle w:val="ListBullet"/>
      </w:pPr>
      <w:r>
        <w:rPr>
          <w:rFonts w:ascii="Microsoft YaHei" w:hAnsi="Microsoft YaHei" w:eastAsia="Microsoft YaHei"/>
          <w:sz w:val="20"/>
        </w:rPr>
        <w:t>每周扫描中文语义字段是否出现连续问号、替换字符或明显乱码。</w:t>
      </w:r>
    </w:p>
    <w:p>
      <w:pPr>
        <w:pStyle w:val="ListBullet"/>
      </w:pPr>
      <w:r>
        <w:rPr>
          <w:rFonts w:ascii="Microsoft YaHei" w:hAnsi="Microsoft YaHei" w:eastAsia="Microsoft YaHei"/>
          <w:sz w:val="20"/>
        </w:rPr>
        <w:t>每周检查 Agent 工具执行日志、失败率、超时和高风险写操作。</w:t>
      </w:r>
    </w:p>
    <w:p>
      <w:pPr>
        <w:pStyle w:val="ListBullet"/>
      </w:pPr>
      <w:r>
        <w:rPr>
          <w:rFonts w:ascii="Microsoft YaHei" w:hAnsi="Microsoft YaHei" w:eastAsia="Microsoft YaHei"/>
          <w:sz w:val="20"/>
        </w:rPr>
        <w:t>每月整理动态应用字段、未匹配字段和 AI 修正记录，决定是否升级为正式字段或语义规则。</w:t>
      </w:r>
    </w:p>
    <w:p>
      <w:pPr>
        <w:pStyle w:val="Heading2"/>
      </w:pPr>
      <w:r>
        <w:rPr>
          <w:rFonts w:ascii="Microsoft YaHei" w:hAnsi="Microsoft YaHei" w:eastAsia="Microsoft YaHei"/>
          <w:b/>
          <w:color w:val="2E74B5"/>
          <w:sz w:val="26"/>
        </w:rPr>
        <w:t>A.5 文档结论摘要</w:t>
      </w:r>
    </w:p>
    <w:p>
      <w:pPr>
        <w:spacing w:after="120" w:line="276" w:lineRule="auto"/>
        <w:ind w:firstLine="403"/>
      </w:pPr>
      <w:r>
        <w:rPr>
          <w:rFonts w:ascii="Microsoft YaHei" w:hAnsi="Microsoft YaHei" w:eastAsia="Microsoft YaHei"/>
          <w:sz w:val="21"/>
        </w:rPr>
        <w:t>综合判断，EISCore 当前已经具备中小制造企业信息化平台的基础形态，并在动态应用、工作流、本体语义和 Agent 辅助方面形成了区别于普通 CRUD 系统的能力。对于不超过 100 人的用户规模，当前单机 Docker Compose、PostgreSQL、PostgREST、多前端和 Agent Runtime 的组合是务实可行的。下一步最重要的是把智能收单 MVP 做成可追溯、可修改、可统计的闭环，同时补齐工程治理、编码标准、备份恢复、端口管理和 Agent 权限边界。第二阶段 Agent 实施贯标运维系统应作为独立产品方向，在 EISCore 本体稳定后承接商务、售前、调研、合同、实施、二开、验收、售后和维护全过程。</w:t>
      </w:r>
    </w:p>
    <w:sectPr w:rsidR="00FC693F" w:rsidRPr="0006063C" w:rsidSect="00034616">
      <w:footerReference w:type="default" r:id="rId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787878"/>
        <w:sz w:val="16"/>
      </w:rPr>
      <w:t>EISCore 当前系统整体技术说明书 | 内部技术参考 | 2026-06-19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Microsoft YaHei" w:hAnsi="Microsoft YaHei" w:eastAsia="Microsoft YaHe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contextualSpacing/>
    </w:pPr>
    <w:rPr>
      <w:rFonts w:ascii="Microsoft YaHei" w:hAnsi="Microsoft YaHe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contextualSpacing/>
    </w:pPr>
    <w:rPr>
      <w:rFonts w:ascii="Microsoft YaHei" w:hAnsi="Microsoft YaHe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