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要素类别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主要内容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结构特征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对物流的意义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地理区位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全国内陆腹地汉水中游襄阳市主城区核心区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南船北马七省通衢交通枢纽传统地位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区域货物向铁路公路航道集中集散的天然节点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国家战略叠加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交通强国汉江生态经济带襄十随神一体化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多战略交汇区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通道枢纽园区获政策倾斜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铁路体系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浩吉铁路+焦柳铁路+汉丹铁路+襄渝铁路等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三纵三横干线铁路格局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各类货物可实现南北向东西向快速中转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高速公路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福银高速二广高速襄阳北/东/黄集/龙王出入口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高速成网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城市配送区域运输效率高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国省干线公路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G316G207S217 等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干线公路纵横交织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加强区内周边县市之间的货流组织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内河航运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汉江航道可通 500 吨船舶唐白河航运提升工程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水运潜力较强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可承接部分砂石粮食等散货降低成本</w:t>
            </w:r>
          </w:p>
        </w:tc>
      </w:tr>
      <w:tr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航空通道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襄阳机场一级通航标准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航空快件/高价值货物能力</w:t>
            </w:r>
          </w:p>
        </w:tc>
        <w:tc>
          <w:tcPr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0" w:after="100"/>
            </w:pPr>
            <w:r>
              <w:rPr>
                <w:b w:val="false"/>
                <w:bCs w:val="false"/>
                <w:sz w:val="24"/>
                <w:szCs w:val="24"/>
              </w:rPr>
              <w:t xml:space="preserve">为未来空铁联运试点奠基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2025-12-01T12:05:36.820Z</dcterms:created>
  <dcterms:modified xsi:type="dcterms:W3CDTF">2025-12-01T12:05:36.820Z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