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/>
          <w:sz w:val="44"/>
          <w:szCs w:val="44"/>
          <w:lang w:eastAsia="zh-CN"/>
        </w:rPr>
      </w:pPr>
      <w:r>
        <w:rPr>
          <w:rFonts w:hint="eastAsia"/>
          <w:sz w:val="44"/>
          <w:szCs w:val="44"/>
          <w:lang w:eastAsia="zh-CN"/>
        </w:rPr>
        <w:t>襄州物流产业发展状况、问题及对策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/>
          <w:sz w:val="44"/>
          <w:szCs w:val="44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ascii="仿宋" w:hAnsi="仿宋" w:eastAsia="仿宋" w:cs="仿宋"/>
          <w:color w:val="333333"/>
          <w:sz w:val="32"/>
          <w:szCs w:val="32"/>
          <w:shd w:val="clear" w:color="auto" w:fill="FFFFFF"/>
        </w:rPr>
      </w:pPr>
      <w:r>
        <w:rPr>
          <w:rFonts w:hint="eastAsia" w:ascii="仿宋" w:hAnsi="仿宋" w:eastAsia="仿宋" w:cs="仿宋"/>
          <w:color w:val="333333"/>
          <w:sz w:val="32"/>
          <w:szCs w:val="32"/>
          <w:shd w:val="clear" w:color="auto" w:fill="FFFFFF"/>
        </w:rPr>
        <w:t>襄阳</w:t>
      </w:r>
      <w:r>
        <w:rPr>
          <w:rFonts w:hint="eastAsia" w:ascii="仿宋" w:hAnsi="仿宋" w:eastAsia="仿宋" w:cs="仿宋"/>
          <w:color w:val="333333"/>
          <w:sz w:val="32"/>
          <w:szCs w:val="32"/>
          <w:shd w:val="clear" w:color="auto" w:fill="FFFFFF"/>
          <w:lang w:eastAsia="zh-CN"/>
        </w:rPr>
        <w:t>正在</w:t>
      </w:r>
      <w:r>
        <w:rPr>
          <w:rFonts w:hint="eastAsia" w:ascii="仿宋" w:hAnsi="仿宋" w:eastAsia="仿宋" w:cs="仿宋"/>
          <w:color w:val="333333"/>
          <w:sz w:val="32"/>
          <w:szCs w:val="32"/>
          <w:shd w:val="clear" w:color="auto" w:fill="FFFFFF"/>
        </w:rPr>
        <w:t>加快建设生产服务型国家物流枢纽承载城市</w:t>
      </w:r>
      <w:r>
        <w:rPr>
          <w:rFonts w:hint="eastAsia" w:ascii="仿宋" w:hAnsi="仿宋" w:eastAsia="仿宋" w:cs="仿宋"/>
          <w:color w:val="333333"/>
          <w:sz w:val="32"/>
          <w:szCs w:val="32"/>
          <w:shd w:val="clear" w:color="auto" w:fill="FFFFFF"/>
          <w:lang w:eastAsia="zh-CN"/>
        </w:rPr>
        <w:t>。</w:t>
      </w:r>
      <w:r>
        <w:rPr>
          <w:rFonts w:hint="eastAsia" w:ascii="仿宋" w:hAnsi="仿宋" w:eastAsia="仿宋" w:cs="仿宋"/>
          <w:color w:val="333333"/>
          <w:sz w:val="32"/>
          <w:szCs w:val="32"/>
          <w:shd w:val="clear" w:color="auto" w:fill="FFFFFF"/>
        </w:rPr>
        <w:t>襄州作为</w:t>
      </w:r>
      <w:r>
        <w:rPr>
          <w:rFonts w:hint="eastAsia" w:ascii="仿宋" w:hAnsi="仿宋" w:eastAsia="仿宋" w:cs="仿宋"/>
          <w:color w:val="333333"/>
          <w:sz w:val="32"/>
          <w:szCs w:val="32"/>
          <w:shd w:val="clear" w:color="auto" w:fill="FFFFFF"/>
          <w:lang w:eastAsia="zh-CN"/>
        </w:rPr>
        <w:t>主要</w:t>
      </w:r>
      <w:r>
        <w:rPr>
          <w:rFonts w:hint="eastAsia" w:ascii="仿宋" w:hAnsi="仿宋" w:eastAsia="仿宋" w:cs="仿宋"/>
          <w:color w:val="333333"/>
          <w:sz w:val="32"/>
          <w:szCs w:val="32"/>
          <w:shd w:val="clear" w:color="auto" w:fill="FFFFFF"/>
        </w:rPr>
        <w:t>城区，理应在建设国家物流枢纽承载城市中挑大梁，唱主角，打造国家物流枢纽城市重点承载区；同时，更要借助襄阳建设国家物流枢纽承载城市的东风，全面提升襄州</w:t>
      </w:r>
      <w:r>
        <w:rPr>
          <w:rFonts w:hint="eastAsia" w:ascii="仿宋" w:hAnsi="仿宋" w:eastAsia="仿宋" w:cs="仿宋"/>
          <w:color w:val="333333"/>
          <w:sz w:val="32"/>
          <w:szCs w:val="32"/>
          <w:shd w:val="clear" w:color="auto" w:fill="FFFFFF"/>
          <w:lang w:eastAsia="zh-CN"/>
        </w:rPr>
        <w:t>现代</w:t>
      </w:r>
      <w:r>
        <w:rPr>
          <w:rFonts w:hint="eastAsia" w:ascii="仿宋" w:hAnsi="仿宋" w:eastAsia="仿宋" w:cs="仿宋"/>
          <w:color w:val="333333"/>
          <w:sz w:val="32"/>
          <w:szCs w:val="32"/>
          <w:shd w:val="clear" w:color="auto" w:fill="FFFFFF"/>
        </w:rPr>
        <w:t>物流</w:t>
      </w:r>
      <w:r>
        <w:rPr>
          <w:rFonts w:hint="eastAsia" w:ascii="仿宋" w:hAnsi="仿宋" w:eastAsia="仿宋" w:cs="仿宋"/>
          <w:color w:val="333333"/>
          <w:sz w:val="32"/>
          <w:szCs w:val="32"/>
          <w:shd w:val="clear" w:color="auto" w:fill="FFFFFF"/>
          <w:lang w:eastAsia="zh-CN"/>
        </w:rPr>
        <w:t>产业</w:t>
      </w:r>
      <w:r>
        <w:rPr>
          <w:rFonts w:hint="eastAsia" w:ascii="仿宋" w:hAnsi="仿宋" w:eastAsia="仿宋" w:cs="仿宋"/>
          <w:color w:val="333333"/>
          <w:sz w:val="32"/>
          <w:szCs w:val="32"/>
          <w:shd w:val="clear" w:color="auto" w:fill="FFFFFF"/>
        </w:rPr>
        <w:t>发展水平，为襄州高质量发展提供有力支撑。</w:t>
      </w:r>
    </w:p>
    <w:p>
      <w:pPr>
        <w:pStyle w:val="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/>
        <w:textAlignment w:val="auto"/>
        <w:rPr>
          <w:rFonts w:hint="eastAsia" w:ascii="黑体" w:hAnsi="黑体" w:eastAsia="黑体" w:cs="黑体"/>
          <w:color w:val="333333"/>
          <w:sz w:val="32"/>
          <w:szCs w:val="32"/>
          <w:shd w:val="clear" w:color="auto" w:fill="FFFFFF"/>
          <w:lang w:eastAsia="zh-CN"/>
        </w:rPr>
      </w:pPr>
      <w:r>
        <w:rPr>
          <w:rFonts w:hint="eastAsia" w:ascii="黑体" w:hAnsi="黑体" w:eastAsia="黑体" w:cs="黑体"/>
          <w:color w:val="333333"/>
          <w:sz w:val="32"/>
          <w:szCs w:val="32"/>
          <w:shd w:val="clear" w:color="auto" w:fill="FFFFFF"/>
        </w:rPr>
        <w:t>一、</w:t>
      </w:r>
      <w:r>
        <w:rPr>
          <w:rFonts w:hint="eastAsia" w:ascii="黑体" w:hAnsi="黑体" w:eastAsia="黑体" w:cs="黑体"/>
          <w:color w:val="333333"/>
          <w:sz w:val="32"/>
          <w:szCs w:val="32"/>
          <w:shd w:val="clear" w:color="auto" w:fill="FFFFFF"/>
          <w:lang w:eastAsia="zh-CN"/>
        </w:rPr>
        <w:t>发展现状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1、区位优势明显。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襄阳</w:t>
      </w:r>
      <w:r>
        <w:rPr>
          <w:rFonts w:hint="eastAsia" w:ascii="仿宋" w:hAnsi="仿宋" w:eastAsia="仿宋" w:cs="仿宋"/>
          <w:sz w:val="32"/>
          <w:szCs w:val="32"/>
        </w:rPr>
        <w:t>地处全国内陆腹地中心地带，居汉水中游，是湖北省域副中心城市，襄十随神城市群的核心城市，长江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中游</w:t>
      </w:r>
      <w:r>
        <w:rPr>
          <w:rFonts w:hint="eastAsia" w:ascii="仿宋" w:hAnsi="仿宋" w:eastAsia="仿宋" w:cs="仿宋"/>
          <w:sz w:val="32"/>
          <w:szCs w:val="32"/>
        </w:rPr>
        <w:t>城市群的重要组成部分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位于武汉、郑州、西安、重庆四大交通物流枢纽城市的中心，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1000公里半径内涵盖了全国一半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以上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的大中城市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自古即为“南船北马”“七省通衢”的交通要塞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sz w:val="32"/>
          <w:szCs w:val="32"/>
        </w:rPr>
        <w:t>国务院批复《汉江生态经济带发展规划》，明确提出要加强综合交通网络建设，构建“畅通汉江”，统筹航运、铁路、公路、航空建设，不断增强对汉江生态经济带发展的战略支撑。同时，襄州是蒙华铁路的心脏和中枢，全线唯一的机车车辆维修基地，是浩吉铁路全线最大的货运中转站和国内最大的万吨级组合分解站，最大的货物分解站。浩吉铁路的通车，强化了襄阳货运枢纽地位，使得襄阳成为南北货运大通道上的重要节点。</w:t>
      </w:r>
    </w:p>
    <w:p>
      <w:pPr>
        <w:pStyle w:val="1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2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2、交通优势显著。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襄州</w:t>
      </w:r>
      <w:r>
        <w:rPr>
          <w:rFonts w:hint="eastAsia" w:ascii="仿宋" w:hAnsi="仿宋" w:eastAsia="仿宋" w:cs="仿宋"/>
          <w:sz w:val="32"/>
          <w:szCs w:val="32"/>
        </w:rPr>
        <w:t>拥有丰富的铁路运输线路资源，已形成“三纵”（焦柳铁路、浩吉铁路、郑万高铁）“三横”（汉丹铁路、西武高铁、襄渝铁路）干线铁路网。浩吉铁路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的</w:t>
      </w:r>
      <w:r>
        <w:rPr>
          <w:rFonts w:hint="eastAsia" w:ascii="仿宋" w:hAnsi="仿宋" w:eastAsia="仿宋" w:cs="仿宋"/>
          <w:sz w:val="32"/>
          <w:szCs w:val="32"/>
        </w:rPr>
        <w:t>专用线和大型编组站，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可</w:t>
      </w:r>
      <w:r>
        <w:rPr>
          <w:rFonts w:hint="eastAsia" w:ascii="仿宋" w:hAnsi="仿宋" w:eastAsia="仿宋" w:cs="仿宋"/>
          <w:sz w:val="32"/>
          <w:szCs w:val="32"/>
        </w:rPr>
        <w:t>与其他铁路、公路、汉江水运和航空运输无缝对接，且处于汉江流域主要城市的物流中心，城市间仓配、中转条件优势明显。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全区拥有水路通航里程207公里，常年可通行500吨级船舶，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汉江河道整治和港口建设于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2021年底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开工，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3年左右唐白河（唐河）可达到1000吨级船舶通航条件。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福银、二广高速在襄州设有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襄阳东、襄阳北、黄集、龙王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4个出口，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襄阳高速外环已全线通车，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316国道、207国道和217省道肩负着主要公路物流通道任务，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全区100%的乡镇和行政村通柏油（水泥）路。紧邻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我区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的襄阳飞机场已达国家一级通航标准,开通了飞往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国内各主要城市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航线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，可承接航空货运业务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color w:val="auto"/>
          <w:kern w:val="2"/>
          <w:sz w:val="32"/>
          <w:szCs w:val="32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32"/>
          <w:szCs w:val="32"/>
        </w:rPr>
        <w:t>3、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关联</w:t>
      </w:r>
      <w:r>
        <w:rPr>
          <w:rFonts w:hint="eastAsia" w:ascii="楷体" w:hAnsi="楷体" w:eastAsia="楷体" w:cs="楷体"/>
          <w:sz w:val="32"/>
          <w:szCs w:val="32"/>
        </w:rPr>
        <w:t>产业基础雄厚。</w:t>
      </w:r>
      <w:r>
        <w:rPr>
          <w:rFonts w:hint="eastAsia" w:ascii="仿宋" w:hAnsi="仿宋" w:eastAsia="仿宋" w:cs="仿宋"/>
          <w:sz w:val="32"/>
          <w:szCs w:val="32"/>
        </w:rPr>
        <w:t>随着“产业襄阳”的建设，襄阳市形成了以汽车产业为龙头，农产品深加工、装备制造、电子信息、医药化工、新能源新材料、纺织为主导的现代产业体系，拥有汽车及零部件企业 500 多家，产销各类零部件产品 4000 多种；年粮食总产量过百亿斤，拥有规模以上的食品加工企业 270 多家；纺织产业综合实力多年来位居全省第一，拥有规模以上纺织服装企业 280 多家，已培育出汽车产业、农产品深加工、装备制造等三个千亿级产业集群。襄阳市产业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发展成果</w:t>
      </w:r>
      <w:r>
        <w:rPr>
          <w:rFonts w:hint="eastAsia" w:ascii="仿宋" w:hAnsi="仿宋" w:eastAsia="仿宋" w:cs="仿宋"/>
          <w:sz w:val="32"/>
          <w:szCs w:val="32"/>
        </w:rPr>
        <w:t>显著，并有持续增长的潜力，为物流发展带来了较大的需求。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4、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物流园区类型丰富。</w:t>
      </w:r>
      <w:r>
        <w:rPr>
          <w:rFonts w:hint="eastAsia" w:ascii="仿宋_GB2312" w:eastAsia="仿宋_GB2312"/>
          <w:sz w:val="32"/>
          <w:szCs w:val="32"/>
        </w:rPr>
        <w:t>我区现有建成运营物流园区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8</w:t>
      </w:r>
      <w:r>
        <w:rPr>
          <w:rFonts w:hint="eastAsia" w:ascii="仿宋_GB2312" w:eastAsia="仿宋_GB2312"/>
          <w:sz w:val="32"/>
          <w:szCs w:val="32"/>
        </w:rPr>
        <w:t>个（</w:t>
      </w:r>
      <w:r>
        <w:rPr>
          <w:rFonts w:hint="eastAsia" w:ascii="仿宋_GB2312" w:eastAsia="仿宋_GB2312"/>
          <w:sz w:val="32"/>
          <w:szCs w:val="32"/>
          <w:lang w:eastAsia="zh-CN"/>
        </w:rPr>
        <w:t>光彩</w:t>
      </w:r>
      <w:r>
        <w:rPr>
          <w:rFonts w:hint="eastAsia" w:ascii="仿宋_GB2312" w:eastAsia="仿宋_GB2312"/>
          <w:sz w:val="32"/>
          <w:szCs w:val="32"/>
        </w:rPr>
        <w:t>汽车产业物流园、</w:t>
      </w:r>
      <w:r>
        <w:rPr>
          <w:rFonts w:hint="eastAsia" w:ascii="仿宋_GB2312" w:eastAsia="仿宋_GB2312"/>
          <w:sz w:val="32"/>
          <w:szCs w:val="32"/>
          <w:lang w:eastAsia="zh-CN"/>
        </w:rPr>
        <w:t>中车物流园、</w:t>
      </w:r>
      <w:r>
        <w:rPr>
          <w:rFonts w:hint="eastAsia" w:ascii="仿宋_GB2312" w:eastAsia="仿宋_GB2312"/>
          <w:sz w:val="32"/>
          <w:szCs w:val="32"/>
        </w:rPr>
        <w:t>国储物流园、浩吉</w:t>
      </w:r>
      <w:r>
        <w:rPr>
          <w:rFonts w:hint="eastAsia" w:ascii="仿宋_GB2312" w:eastAsia="仿宋_GB2312"/>
          <w:sz w:val="32"/>
          <w:szCs w:val="32"/>
          <w:lang w:eastAsia="zh-CN"/>
        </w:rPr>
        <w:t>铁路</w:t>
      </w:r>
      <w:r>
        <w:rPr>
          <w:rFonts w:hint="eastAsia" w:ascii="仿宋_GB2312" w:eastAsia="仿宋_GB2312"/>
          <w:sz w:val="32"/>
          <w:szCs w:val="32"/>
        </w:rPr>
        <w:t>襄州北疏运基地、捷顺达物流园</w:t>
      </w:r>
      <w:r>
        <w:rPr>
          <w:rFonts w:hint="eastAsia" w:ascii="仿宋_GB2312" w:eastAsia="仿宋_GB2312"/>
          <w:sz w:val="32"/>
          <w:szCs w:val="32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</w:rPr>
        <w:t>新发地百应物流园、四季青物流园、</w:t>
      </w:r>
      <w:r>
        <w:rPr>
          <w:rFonts w:hint="eastAsia" w:ascii="仿宋_GB2312" w:eastAsia="仿宋_GB2312"/>
          <w:sz w:val="32"/>
          <w:szCs w:val="32"/>
          <w:lang w:eastAsia="zh-CN"/>
        </w:rPr>
        <w:t>朱庄</w:t>
      </w:r>
      <w:r>
        <w:rPr>
          <w:rFonts w:hint="eastAsia" w:ascii="仿宋_GB2312" w:eastAsia="仿宋_GB2312"/>
          <w:sz w:val="32"/>
          <w:szCs w:val="32"/>
        </w:rPr>
        <w:t>世通易达物流中心），在建物流项目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个（</w:t>
      </w:r>
      <w:r>
        <w:rPr>
          <w:rFonts w:hint="eastAsia" w:ascii="仿宋_GB2312" w:eastAsia="仿宋_GB2312"/>
          <w:sz w:val="32"/>
          <w:szCs w:val="32"/>
          <w:lang w:eastAsia="zh-CN"/>
        </w:rPr>
        <w:t>康瑞达冷链物流</w:t>
      </w:r>
      <w:r>
        <w:rPr>
          <w:rFonts w:hint="eastAsia" w:ascii="仿宋_GB2312" w:eastAsia="仿宋_GB2312"/>
          <w:sz w:val="32"/>
          <w:szCs w:val="32"/>
        </w:rPr>
        <w:t>、</w:t>
      </w:r>
      <w:r>
        <w:rPr>
          <w:rFonts w:hint="eastAsia" w:ascii="仿宋_GB2312" w:eastAsia="仿宋_GB2312"/>
          <w:sz w:val="32"/>
          <w:szCs w:val="32"/>
          <w:lang w:eastAsia="zh-CN"/>
        </w:rPr>
        <w:t>圆通智创园</w:t>
      </w:r>
      <w:r>
        <w:rPr>
          <w:rFonts w:hint="eastAsia" w:ascii="仿宋_GB2312" w:eastAsia="仿宋_GB2312"/>
          <w:sz w:val="32"/>
          <w:szCs w:val="32"/>
        </w:rPr>
        <w:t>）</w:t>
      </w:r>
      <w:r>
        <w:rPr>
          <w:rFonts w:hint="eastAsia" w:ascii="仿宋_GB2312" w:eastAsia="仿宋_GB2312"/>
          <w:sz w:val="32"/>
          <w:szCs w:val="32"/>
          <w:lang w:eastAsia="zh-CN"/>
        </w:rPr>
        <w:t>。</w:t>
      </w:r>
      <w:r>
        <w:rPr>
          <w:rFonts w:hint="eastAsia" w:ascii="仿宋_GB2312" w:eastAsia="仿宋_GB2312"/>
          <w:sz w:val="32"/>
          <w:szCs w:val="32"/>
        </w:rPr>
        <w:t>我区已基本形成了以物流园区为基础，以</w:t>
      </w:r>
      <w:r>
        <w:rPr>
          <w:rFonts w:hint="eastAsia" w:ascii="仿宋_GB2312" w:eastAsia="仿宋_GB2312"/>
          <w:sz w:val="32"/>
          <w:szCs w:val="32"/>
          <w:lang w:eastAsia="zh-CN"/>
        </w:rPr>
        <w:t>枢纽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+</w:t>
      </w:r>
      <w:r>
        <w:rPr>
          <w:rFonts w:hint="eastAsia" w:ascii="仿宋_GB2312" w:eastAsia="仿宋_GB2312"/>
          <w:sz w:val="32"/>
          <w:szCs w:val="32"/>
          <w:lang w:eastAsia="zh-CN"/>
        </w:rPr>
        <w:t>仓储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+运输配送、仓储+</w:t>
      </w:r>
      <w:r>
        <w:rPr>
          <w:rFonts w:hint="eastAsia" w:ascii="仿宋_GB2312" w:eastAsia="仿宋_GB2312"/>
          <w:sz w:val="32"/>
          <w:szCs w:val="32"/>
        </w:rPr>
        <w:t>电商+快递快运为支撑，辐射区、镇、村的城乡物流一体化服务网络，总体呈现出综合性物流园、专业化物流园（中心）与城乡物流服务网络联动发展格局。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5、</w:t>
      </w:r>
      <w:r>
        <w:rPr>
          <w:rFonts w:hint="eastAsia" w:ascii="楷体" w:hAnsi="楷体" w:eastAsia="楷体" w:cs="楷体"/>
          <w:sz w:val="32"/>
          <w:szCs w:val="32"/>
        </w:rPr>
        <w:t>物流业态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现状</w:t>
      </w:r>
      <w:r>
        <w:rPr>
          <w:rFonts w:hint="eastAsia" w:ascii="楷体" w:hAnsi="楷体" w:eastAsia="楷体" w:cs="楷体"/>
          <w:sz w:val="32"/>
          <w:szCs w:val="32"/>
        </w:rPr>
        <w:t>良好。</w:t>
      </w:r>
      <w:r>
        <w:rPr>
          <w:rFonts w:hint="eastAsia" w:ascii="仿宋" w:hAnsi="仿宋" w:eastAsia="仿宋" w:cs="仿宋"/>
          <w:sz w:val="32"/>
          <w:szCs w:val="32"/>
        </w:rPr>
        <w:t>工业供应链、商贸、农产品、城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乡</w:t>
      </w:r>
      <w:r>
        <w:rPr>
          <w:rFonts w:hint="eastAsia" w:ascii="仿宋" w:hAnsi="仿宋" w:eastAsia="仿宋" w:cs="仿宋"/>
          <w:sz w:val="32"/>
          <w:szCs w:val="32"/>
        </w:rPr>
        <w:t>配送、信息服务已成为我区现代物流产业的核心内容，铁、水、公、空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多式联运服务成为主攻方向</w:t>
      </w:r>
      <w:r>
        <w:rPr>
          <w:rFonts w:hint="eastAsia" w:ascii="仿宋" w:hAnsi="仿宋" w:eastAsia="仿宋" w:cs="仿宋"/>
          <w:sz w:val="32"/>
          <w:szCs w:val="32"/>
        </w:rPr>
        <w:t>。</w:t>
      </w:r>
      <w:r>
        <w:rPr>
          <w:rFonts w:hint="eastAsia" w:ascii="仿宋" w:hAnsi="仿宋" w:eastAsia="仿宋" w:cs="仿宋"/>
          <w:color w:val="auto"/>
          <w:kern w:val="2"/>
          <w:sz w:val="32"/>
          <w:szCs w:val="32"/>
          <w:lang w:val="en-US" w:eastAsia="zh-CN"/>
        </w:rPr>
        <w:t>全区共有货运车辆2.6万多台，运力23.45万载重吨，全区运输船舶300多艘，运力6万多载重吨。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default" w:ascii="仿宋" w:hAnsi="仿宋" w:eastAsia="仿宋_GB2312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zh-CN"/>
        </w:rPr>
        <w:t>全区现有大、中、小型物流企业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260多</w:t>
      </w:r>
      <w:r>
        <w:rPr>
          <w:rFonts w:hint="eastAsia" w:ascii="仿宋" w:hAnsi="仿宋" w:eastAsia="仿宋" w:cs="仿宋"/>
          <w:sz w:val="32"/>
          <w:szCs w:val="32"/>
          <w:lang w:val="zh-CN"/>
        </w:rPr>
        <w:t>家，常年税收总额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3000万元左右</w:t>
      </w:r>
      <w:r>
        <w:rPr>
          <w:rFonts w:hint="eastAsia" w:ascii="仿宋" w:hAnsi="仿宋" w:eastAsia="仿宋" w:cs="仿宋"/>
          <w:sz w:val="32"/>
          <w:szCs w:val="32"/>
          <w:lang w:val="zh-CN"/>
        </w:rPr>
        <w:t>。其中，综合、园区类物流企业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</w:t>
      </w:r>
      <w:r>
        <w:rPr>
          <w:rFonts w:hint="eastAsia" w:ascii="仿宋" w:hAnsi="仿宋" w:eastAsia="仿宋" w:cs="仿宋"/>
          <w:sz w:val="32"/>
          <w:szCs w:val="32"/>
          <w:lang w:val="zh-CN"/>
        </w:rPr>
        <w:t>家，仓储类物流企业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25</w:t>
      </w:r>
      <w:r>
        <w:rPr>
          <w:rFonts w:hint="eastAsia" w:ascii="仿宋" w:hAnsi="仿宋" w:eastAsia="仿宋" w:cs="仿宋"/>
          <w:sz w:val="32"/>
          <w:szCs w:val="32"/>
          <w:lang w:val="zh-CN"/>
        </w:rPr>
        <w:t>家，运输类物流企业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87</w:t>
      </w:r>
      <w:r>
        <w:rPr>
          <w:rFonts w:hint="eastAsia" w:ascii="仿宋" w:hAnsi="仿宋" w:eastAsia="仿宋" w:cs="仿宋"/>
          <w:sz w:val="32"/>
          <w:szCs w:val="32"/>
          <w:lang w:val="zh-CN"/>
        </w:rPr>
        <w:t>家，其他类物流企业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140多</w:t>
      </w:r>
      <w:r>
        <w:rPr>
          <w:rFonts w:hint="eastAsia" w:ascii="仿宋" w:hAnsi="仿宋" w:eastAsia="仿宋" w:cs="仿宋"/>
          <w:sz w:val="32"/>
          <w:szCs w:val="32"/>
          <w:lang w:val="zh-CN"/>
        </w:rPr>
        <w:t>家。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5A级物流企业2家，</w:t>
      </w:r>
      <w:r>
        <w:rPr>
          <w:rFonts w:hint="eastAsia" w:ascii="仿宋" w:hAnsi="仿宋" w:eastAsia="仿宋" w:cs="仿宋"/>
          <w:sz w:val="32"/>
          <w:szCs w:val="32"/>
          <w:lang w:val="zh-CN"/>
        </w:rPr>
        <w:t>4A级企业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18</w:t>
      </w:r>
      <w:r>
        <w:rPr>
          <w:rFonts w:hint="eastAsia" w:ascii="仿宋" w:hAnsi="仿宋" w:eastAsia="仿宋" w:cs="仿宋"/>
          <w:sz w:val="32"/>
          <w:szCs w:val="32"/>
          <w:lang w:val="zh-CN"/>
        </w:rPr>
        <w:t>家，3A级企业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24</w:t>
      </w:r>
      <w:r>
        <w:rPr>
          <w:rFonts w:hint="eastAsia" w:ascii="仿宋" w:hAnsi="仿宋" w:eastAsia="仿宋" w:cs="仿宋"/>
          <w:sz w:val="32"/>
          <w:szCs w:val="32"/>
          <w:lang w:val="zh-CN"/>
        </w:rPr>
        <w:t>家，2A级企业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" w:cs="仿宋"/>
          <w:sz w:val="32"/>
          <w:szCs w:val="32"/>
          <w:lang w:val="zh-CN"/>
        </w:rPr>
        <w:t>家，总数占全市一半。现有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  <w:lang w:val="zh-CN"/>
        </w:rPr>
        <w:t>纳入交通运输部“一套表”统计的道路货运规上企业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26家（2022年已入15家、2023年底新入11家），2023年累计实现货运量547.2977万吨，排名全市第二。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邮政快递方面，</w:t>
      </w:r>
      <w:r>
        <w:rPr>
          <w:rFonts w:hint="eastAsia" w:ascii="仿宋_GB2312" w:hAnsi="仿宋_GB2312" w:eastAsia="仿宋_GB2312" w:cs="仿宋_GB2312"/>
          <w:sz w:val="32"/>
          <w:szCs w:val="32"/>
        </w:rPr>
        <w:t>辖区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内拥有</w:t>
      </w:r>
      <w:r>
        <w:rPr>
          <w:rFonts w:hint="eastAsia" w:ascii="仿宋_GB2312" w:hAnsi="仿宋_GB2312" w:eastAsia="仿宋_GB2312" w:cs="仿宋_GB2312"/>
          <w:sz w:val="32"/>
          <w:szCs w:val="32"/>
        </w:rPr>
        <w:t>圆通、中通、极兔等6家快递许可企业，分支机构23个，已建成运营分拨中心3个，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共建有</w:t>
      </w:r>
      <w:r>
        <w:rPr>
          <w:rFonts w:hint="eastAsia" w:ascii="仿宋_GB2312" w:hAnsi="仿宋_GB2312" w:eastAsia="仿宋_GB2312" w:cs="仿宋_GB2312"/>
          <w:sz w:val="32"/>
          <w:szCs w:val="32"/>
        </w:rPr>
        <w:t>乡镇综合服务站11个，村级综合服务网点363个，覆盖率100%。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2023年全区邮政业务总量实现5.63亿元，比上年同期增长17.61%，排名全市第三；2023年全区累计实现快递业务量3204.69万件，业务收入实现47423万元，比上年同期增长28.14%，排名全市第五。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640"/>
        <w:textAlignment w:val="auto"/>
        <w:rPr>
          <w:rFonts w:hint="eastAsia" w:ascii="黑体" w:hAnsi="黑体" w:eastAsia="黑体" w:cs="仿宋"/>
          <w:sz w:val="32"/>
          <w:szCs w:val="32"/>
          <w:lang w:eastAsia="zh-CN"/>
        </w:rPr>
      </w:pPr>
      <w:r>
        <w:rPr>
          <w:rFonts w:hint="eastAsia" w:ascii="黑体" w:hAnsi="黑体" w:eastAsia="黑体" w:cs="仿宋"/>
          <w:sz w:val="32"/>
          <w:szCs w:val="32"/>
        </w:rPr>
        <w:t>二、</w:t>
      </w:r>
      <w:r>
        <w:rPr>
          <w:rFonts w:hint="eastAsia" w:ascii="黑体" w:hAnsi="黑体" w:eastAsia="黑体" w:cs="仿宋"/>
          <w:sz w:val="32"/>
          <w:szCs w:val="32"/>
          <w:lang w:eastAsia="zh-CN"/>
        </w:rPr>
        <w:t>主要问题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黑体" w:eastAsia="黑体"/>
          <w:sz w:val="32"/>
          <w:szCs w:val="32"/>
        </w:rPr>
      </w:pPr>
      <w:r>
        <w:rPr>
          <w:rFonts w:hint="eastAsia" w:ascii="楷体_GB2312" w:hAnsi="Times New Roman" w:eastAsia="楷体_GB2312" w:cs="Times New Roman"/>
          <w:b w:val="0"/>
          <w:bCs w:val="0"/>
          <w:sz w:val="32"/>
          <w:szCs w:val="32"/>
          <w:lang w:eastAsia="zh-CN"/>
        </w:rPr>
        <w:t>（一）</w:t>
      </w:r>
      <w:r>
        <w:rPr>
          <w:rFonts w:hint="eastAsia" w:ascii="楷体_GB2312" w:hAnsi="Times New Roman" w:eastAsia="楷体_GB2312" w:cs="Times New Roman"/>
          <w:b w:val="0"/>
          <w:bCs w:val="0"/>
          <w:sz w:val="32"/>
          <w:szCs w:val="32"/>
        </w:rPr>
        <w:t>物流管理供需不相适应。</w:t>
      </w:r>
      <w:r>
        <w:rPr>
          <w:rFonts w:hint="eastAsia" w:ascii="仿宋" w:hAnsi="仿宋" w:eastAsia="仿宋" w:cs="仿宋"/>
          <w:sz w:val="32"/>
          <w:szCs w:val="32"/>
        </w:rPr>
        <w:t>现代物流业是融合运输、仓储、信息、流通加工、金融等产业的复合型服务业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。目前，我区</w:t>
      </w:r>
      <w:r>
        <w:rPr>
          <w:rFonts w:hint="eastAsia" w:ascii="仿宋_GB2312" w:eastAsia="仿宋_GB2312"/>
          <w:sz w:val="32"/>
          <w:szCs w:val="32"/>
        </w:rPr>
        <w:t>物流业发展涉及发改（政策规划、粮食仓储及冷链）、交通（运输方式、通道、车辆及场站）、商务（电商物流、外贸口岸）、科经（工业供应链）、农业（农贸供应链）、供销（农资）、邮政（快递快运）等多个部门，职责交叉严重，但信息又互不交流。区政府虽然成立了</w:t>
      </w:r>
      <w:r>
        <w:rPr>
          <w:rFonts w:hint="eastAsia" w:ascii="仿宋_GB2312" w:eastAsia="仿宋_GB2312"/>
          <w:sz w:val="32"/>
          <w:szCs w:val="32"/>
          <w:lang w:eastAsia="zh-CN"/>
        </w:rPr>
        <w:t>综合交通物流体系建设</w:t>
      </w:r>
      <w:r>
        <w:rPr>
          <w:rFonts w:hint="eastAsia" w:ascii="仿宋_GB2312" w:eastAsia="仿宋_GB2312"/>
          <w:sz w:val="32"/>
          <w:szCs w:val="32"/>
        </w:rPr>
        <w:t>领导小组，但与现代物流高层级资源整合、高效率专业服务的产业需求不相适应，难以形成合力，影响了物流服务效率和市场辐射能力。《襄阳市现代物流业“十四五”发展规划》已发布，而我区对应的产业规划编制还未启动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楷体_GB2312" w:hAnsi="Times New Roman" w:eastAsia="楷体_GB2312" w:cs="Times New Roman"/>
          <w:b w:val="0"/>
          <w:bCs w:val="0"/>
          <w:sz w:val="32"/>
          <w:szCs w:val="32"/>
        </w:rPr>
        <w:t>（二）物流设施供需不相匹配。</w:t>
      </w:r>
      <w:r>
        <w:rPr>
          <w:rFonts w:hint="eastAsia" w:ascii="仿宋_GB2312" w:eastAsia="仿宋_GB2312"/>
          <w:sz w:val="32"/>
          <w:szCs w:val="32"/>
        </w:rPr>
        <w:t>公路、铁路、水运</w:t>
      </w:r>
      <w:r>
        <w:rPr>
          <w:rFonts w:hint="eastAsia" w:ascii="仿宋_GB2312" w:eastAsia="仿宋_GB2312"/>
          <w:sz w:val="32"/>
          <w:szCs w:val="32"/>
          <w:lang w:eastAsia="zh-CN"/>
        </w:rPr>
        <w:t>等</w:t>
      </w:r>
      <w:r>
        <w:rPr>
          <w:rFonts w:hint="eastAsia" w:ascii="仿宋_GB2312" w:eastAsia="仿宋_GB2312"/>
          <w:sz w:val="32"/>
          <w:szCs w:val="32"/>
        </w:rPr>
        <w:t>物流设施布</w:t>
      </w:r>
      <w:r>
        <w:rPr>
          <w:rFonts w:hint="eastAsia" w:ascii="仿宋_GB2312" w:eastAsia="仿宋_GB2312"/>
          <w:sz w:val="32"/>
          <w:szCs w:val="32"/>
          <w:lang w:eastAsia="zh-CN"/>
        </w:rPr>
        <w:t>局</w:t>
      </w:r>
      <w:r>
        <w:rPr>
          <w:rFonts w:hint="eastAsia" w:ascii="仿宋_GB2312" w:eastAsia="仿宋_GB2312"/>
          <w:sz w:val="32"/>
          <w:szCs w:val="32"/>
        </w:rPr>
        <w:t>相对分散，协同联动不够，各种运输方式独立发展，集约化程度不高。公路物流园区体量小，铁路物流缺少大型枢纽站场与仓储设施，不具备大规模开展多式联运的条件，汉江航道通</w:t>
      </w:r>
      <w:r>
        <w:rPr>
          <w:rFonts w:hint="eastAsia" w:ascii="仿宋_GB2312" w:eastAsia="仿宋_GB2312"/>
          <w:sz w:val="32"/>
          <w:szCs w:val="32"/>
          <w:lang w:eastAsia="zh-CN"/>
        </w:rPr>
        <w:t>行</w:t>
      </w:r>
      <w:r>
        <w:rPr>
          <w:rFonts w:hint="eastAsia" w:ascii="仿宋_GB2312" w:eastAsia="仿宋_GB2312"/>
          <w:sz w:val="32"/>
          <w:szCs w:val="32"/>
        </w:rPr>
        <w:t>能力较低。拥有标准化物流仓储设施的园区缺乏，造成物流企业集聚度不高，也不利于吸引专业化品牌企业</w:t>
      </w:r>
      <w:r>
        <w:rPr>
          <w:rFonts w:hint="eastAsia" w:ascii="仿宋_GB2312" w:eastAsia="仿宋_GB2312"/>
          <w:sz w:val="32"/>
          <w:szCs w:val="32"/>
          <w:lang w:eastAsia="zh-CN"/>
        </w:rPr>
        <w:t>入住</w:t>
      </w:r>
      <w:r>
        <w:rPr>
          <w:rFonts w:hint="eastAsia" w:ascii="仿宋_GB2312" w:eastAsia="仿宋_GB2312"/>
          <w:sz w:val="32"/>
          <w:szCs w:val="32"/>
        </w:rPr>
        <w:t>。适合城乡配送和零担专线物流企业经营的</w:t>
      </w:r>
      <w:r>
        <w:rPr>
          <w:rFonts w:hint="eastAsia" w:ascii="仿宋_GB2312" w:eastAsia="仿宋_GB2312"/>
          <w:sz w:val="32"/>
          <w:szCs w:val="32"/>
          <w:lang w:eastAsia="zh-CN"/>
        </w:rPr>
        <w:t>专业化</w:t>
      </w:r>
      <w:r>
        <w:rPr>
          <w:rFonts w:hint="eastAsia" w:ascii="仿宋_GB2312" w:eastAsia="仿宋_GB2312"/>
          <w:sz w:val="32"/>
          <w:szCs w:val="32"/>
        </w:rPr>
        <w:t>园区</w:t>
      </w:r>
      <w:r>
        <w:rPr>
          <w:rFonts w:hint="eastAsia" w:ascii="仿宋_GB2312" w:eastAsia="仿宋_GB2312"/>
          <w:sz w:val="32"/>
          <w:szCs w:val="32"/>
          <w:lang w:eastAsia="zh-CN"/>
        </w:rPr>
        <w:t>建设比较滞后</w:t>
      </w:r>
      <w:r>
        <w:rPr>
          <w:rFonts w:hint="eastAsia" w:ascii="仿宋_GB2312" w:eastAsia="仿宋_GB2312"/>
          <w:sz w:val="32"/>
          <w:szCs w:val="32"/>
        </w:rPr>
        <w:t>。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楷体_GB2312" w:hAnsi="Times New Roman" w:eastAsia="楷体_GB2312" w:cs="Times New Roman"/>
          <w:b w:val="0"/>
          <w:bCs w:val="0"/>
          <w:sz w:val="32"/>
          <w:szCs w:val="32"/>
        </w:rPr>
        <w:t>（三）物流信息搭建存在短板。</w:t>
      </w:r>
      <w:r>
        <w:rPr>
          <w:rFonts w:hint="eastAsia" w:ascii="仿宋_GB2312" w:eastAsia="仿宋_GB2312"/>
          <w:sz w:val="32"/>
          <w:szCs w:val="32"/>
        </w:rPr>
        <w:t>物流信息化应用水平较低，缺少具备资源整合力、市场影响力、使用效果好的物流公共信息平台。公路、铁路、水运、航空等部门及企业均建有独立的内部管理系统，但信息不互通、不共享，“信息孤岛”、“信息壁垒”等现象普遍存在。网络货运平台</w:t>
      </w:r>
      <w:r>
        <w:rPr>
          <w:rFonts w:hint="eastAsia" w:ascii="仿宋_GB2312" w:eastAsia="仿宋_GB2312"/>
          <w:sz w:val="32"/>
          <w:szCs w:val="32"/>
          <w:lang w:eastAsia="zh-CN"/>
        </w:rPr>
        <w:t>数量较少、</w:t>
      </w:r>
      <w:r>
        <w:rPr>
          <w:rFonts w:hint="eastAsia" w:ascii="仿宋_GB2312" w:eastAsia="仿宋_GB2312"/>
          <w:sz w:val="32"/>
          <w:szCs w:val="32"/>
        </w:rPr>
        <w:t>建设滞后，造成我区物流企业及税收严重流失。虽然我区</w:t>
      </w:r>
      <w:r>
        <w:rPr>
          <w:rFonts w:hint="eastAsia" w:ascii="仿宋_GB2312" w:eastAsia="仿宋_GB2312"/>
          <w:sz w:val="32"/>
          <w:szCs w:val="32"/>
          <w:lang w:eastAsia="zh-CN"/>
        </w:rPr>
        <w:t>拥有吉顺小跑</w:t>
      </w:r>
      <w:r>
        <w:rPr>
          <w:rFonts w:hint="eastAsia" w:ascii="仿宋_GB2312" w:eastAsia="仿宋_GB2312"/>
          <w:sz w:val="32"/>
          <w:szCs w:val="32"/>
        </w:rPr>
        <w:t>网络货运平台项目</w:t>
      </w:r>
      <w:r>
        <w:rPr>
          <w:rFonts w:hint="eastAsia" w:ascii="仿宋_GB2312" w:eastAsia="仿宋_GB2312"/>
          <w:sz w:val="32"/>
          <w:szCs w:val="32"/>
          <w:lang w:eastAsia="zh-CN"/>
        </w:rPr>
        <w:t>，但是税收奖励政策兑现不及时、协议政策不稳定等影响了发展信心</w:t>
      </w:r>
      <w:r>
        <w:rPr>
          <w:rFonts w:hint="eastAsia" w:ascii="仿宋_GB2312" w:eastAsia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楷体_GB2312" w:hAnsi="Times New Roman" w:eastAsia="楷体_GB2312" w:cs="Times New Roman"/>
          <w:b w:val="0"/>
          <w:bCs w:val="0"/>
          <w:sz w:val="32"/>
          <w:szCs w:val="32"/>
        </w:rPr>
        <w:t>（</w:t>
      </w:r>
      <w:r>
        <w:rPr>
          <w:rFonts w:hint="eastAsia" w:ascii="楷体_GB2312" w:hAnsi="Times New Roman" w:eastAsia="楷体_GB2312" w:cs="Times New Roman"/>
          <w:b w:val="0"/>
          <w:bCs w:val="0"/>
          <w:sz w:val="32"/>
          <w:szCs w:val="32"/>
          <w:lang w:eastAsia="zh-CN"/>
        </w:rPr>
        <w:t>四</w:t>
      </w:r>
      <w:r>
        <w:rPr>
          <w:rFonts w:hint="eastAsia" w:ascii="楷体_GB2312" w:hAnsi="Times New Roman" w:eastAsia="楷体_GB2312" w:cs="Times New Roman"/>
          <w:b w:val="0"/>
          <w:bCs w:val="0"/>
          <w:sz w:val="32"/>
          <w:szCs w:val="32"/>
        </w:rPr>
        <w:t>）农村物流发展有待加强。</w:t>
      </w:r>
      <w:r>
        <w:rPr>
          <w:rFonts w:hint="eastAsia" w:ascii="仿宋_GB2312" w:eastAsia="仿宋_GB2312"/>
          <w:sz w:val="32"/>
          <w:szCs w:val="32"/>
        </w:rPr>
        <w:t>国家、省相关部门出台了推进农村物流融合发展的有关政策，但在具体执行过程中，</w:t>
      </w:r>
      <w:r>
        <w:rPr>
          <w:rFonts w:hint="eastAsia" w:ascii="仿宋_GB2312" w:eastAsia="仿宋_GB2312"/>
          <w:sz w:val="32"/>
          <w:szCs w:val="32"/>
          <w:lang w:eastAsia="zh-CN"/>
        </w:rPr>
        <w:t>全区</w:t>
      </w:r>
      <w:r>
        <w:rPr>
          <w:rFonts w:hint="eastAsia" w:ascii="仿宋_GB2312" w:eastAsia="仿宋_GB2312"/>
          <w:sz w:val="32"/>
          <w:szCs w:val="32"/>
        </w:rPr>
        <w:t>难以形成</w:t>
      </w:r>
      <w:r>
        <w:rPr>
          <w:rFonts w:hint="eastAsia" w:ascii="仿宋_GB2312" w:eastAsia="仿宋_GB2312"/>
          <w:sz w:val="32"/>
          <w:szCs w:val="32"/>
          <w:lang w:eastAsia="zh-CN"/>
        </w:rPr>
        <w:t>工作</w:t>
      </w:r>
      <w:r>
        <w:rPr>
          <w:rFonts w:hint="eastAsia" w:ascii="仿宋_GB2312" w:eastAsia="仿宋_GB2312"/>
          <w:sz w:val="32"/>
          <w:szCs w:val="32"/>
        </w:rPr>
        <w:t>合力，</w:t>
      </w:r>
      <w:r>
        <w:rPr>
          <w:rFonts w:hint="eastAsia" w:ascii="仿宋_GB2312" w:eastAsia="仿宋_GB2312"/>
          <w:sz w:val="32"/>
          <w:szCs w:val="32"/>
          <w:lang w:eastAsia="zh-CN"/>
        </w:rPr>
        <w:t>特别是区级寄递物流共同配送中心项目难以落地</w:t>
      </w:r>
      <w:r>
        <w:rPr>
          <w:rFonts w:hint="eastAsia" w:ascii="仿宋_GB2312" w:eastAsia="仿宋_GB2312"/>
          <w:sz w:val="32"/>
          <w:szCs w:val="32"/>
        </w:rPr>
        <w:t>，造成了城乡物流服务衔接不畅、农村物流成本居高不下</w:t>
      </w:r>
      <w:r>
        <w:rPr>
          <w:rFonts w:hint="eastAsia" w:ascii="仿宋_GB2312" w:eastAsia="仿宋_GB2312"/>
          <w:sz w:val="32"/>
          <w:szCs w:val="32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</w:rPr>
        <w:t>“最后一公里”</w:t>
      </w:r>
      <w:r>
        <w:rPr>
          <w:rFonts w:hint="eastAsia" w:ascii="仿宋_GB2312" w:eastAsia="仿宋_GB2312"/>
          <w:sz w:val="32"/>
          <w:szCs w:val="32"/>
          <w:lang w:eastAsia="zh-CN"/>
        </w:rPr>
        <w:t>问题一时难以解决</w:t>
      </w:r>
      <w:r>
        <w:rPr>
          <w:rFonts w:hint="eastAsia" w:ascii="仿宋_GB2312" w:eastAsia="仿宋_GB2312"/>
          <w:sz w:val="32"/>
          <w:szCs w:val="32"/>
        </w:rPr>
        <w:t>。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0" w:firstLineChars="0"/>
        <w:textAlignment w:val="auto"/>
        <w:rPr>
          <w:rFonts w:hint="eastAsia" w:ascii="仿宋" w:hAnsi="仿宋" w:eastAsia="黑体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 </w:t>
      </w:r>
      <w:r>
        <w:rPr>
          <w:rFonts w:hint="eastAsia" w:ascii="黑体" w:hAnsi="黑体" w:eastAsia="黑体" w:cs="黑体"/>
          <w:sz w:val="32"/>
          <w:szCs w:val="32"/>
        </w:rPr>
        <w:t>三、发展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建议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64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仿宋"/>
          <w:sz w:val="32"/>
          <w:szCs w:val="32"/>
        </w:rPr>
        <w:t>一是打造大宗货物联运枢纽。</w:t>
      </w:r>
      <w:r>
        <w:rPr>
          <w:rFonts w:hint="eastAsia" w:ascii="仿宋" w:hAnsi="仿宋" w:eastAsia="仿宋" w:cs="仿宋"/>
          <w:sz w:val="32"/>
          <w:szCs w:val="32"/>
        </w:rPr>
        <w:t>以浩吉铁路襄州北站为依托，围绕煤炭、钢材、粮食、棉花、农资等大宗货物物流需求，加快建设大宗货物公铁水联运核心枢纽，申请设立保税区，逐步打造成为立足襄州，覆盖襄阳，辐射长江中游城市群，服务“一带一路”的汉江流域多式联运核心陆港、长江中游城市群物流骨干网络枢纽关键节点。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64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仿宋"/>
          <w:sz w:val="32"/>
          <w:szCs w:val="32"/>
        </w:rPr>
        <w:t>二是提升东部物流资源富集</w:t>
      </w:r>
      <w:r>
        <w:rPr>
          <w:rFonts w:hint="eastAsia" w:ascii="楷体" w:hAnsi="楷体" w:eastAsia="楷体" w:cs="仿宋"/>
          <w:sz w:val="32"/>
          <w:szCs w:val="32"/>
          <w:lang w:eastAsia="zh-CN"/>
        </w:rPr>
        <w:t>度</w:t>
      </w:r>
      <w:r>
        <w:rPr>
          <w:rFonts w:hint="eastAsia" w:ascii="楷体" w:hAnsi="楷体" w:eastAsia="楷体" w:cs="仿宋"/>
          <w:sz w:val="32"/>
          <w:szCs w:val="32"/>
        </w:rPr>
        <w:t>。</w:t>
      </w:r>
      <w:r>
        <w:rPr>
          <w:rFonts w:hint="eastAsia" w:ascii="仿宋" w:hAnsi="仿宋" w:eastAsia="仿宋" w:cs="仿宋"/>
          <w:sz w:val="32"/>
          <w:szCs w:val="32"/>
        </w:rPr>
        <w:t>以中车物流园和国储五三八物流园为核心，充分利用该区域紧靠主城区和工业园区，且具备铁路专用线资源富集优势，加快高标准仓储设施、装卸换装设施投入，围绕城市物流配送、工业产品物流、高附加值公铁联运货物等市场需求，吸引本地中小物流企业入园集聚。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64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仿宋"/>
          <w:sz w:val="32"/>
          <w:szCs w:val="32"/>
        </w:rPr>
        <w:t>三是形成快递快运物流集散地。</w:t>
      </w:r>
      <w:r>
        <w:rPr>
          <w:rFonts w:hint="eastAsia" w:ascii="仿宋" w:hAnsi="仿宋" w:eastAsia="仿宋" w:cs="仿宋"/>
          <w:sz w:val="32"/>
          <w:szCs w:val="32"/>
        </w:rPr>
        <w:t>以襄阳北国际物流园为基础，加快建设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运营圆通智创</w:t>
      </w:r>
      <w:r>
        <w:rPr>
          <w:rFonts w:hint="eastAsia" w:ascii="仿宋" w:hAnsi="仿宋" w:eastAsia="仿宋" w:cs="仿宋"/>
          <w:sz w:val="32"/>
          <w:szCs w:val="32"/>
        </w:rPr>
        <w:t>园、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玖道电商物流园、</w:t>
      </w:r>
      <w:r>
        <w:rPr>
          <w:rFonts w:hint="eastAsia" w:ascii="仿宋" w:hAnsi="仿宋" w:eastAsia="仿宋" w:cs="仿宋"/>
          <w:sz w:val="32"/>
          <w:szCs w:val="32"/>
        </w:rPr>
        <w:t>捷顺达物流园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、康瑞达物流</w:t>
      </w:r>
      <w:r>
        <w:rPr>
          <w:rFonts w:hint="eastAsia" w:ascii="仿宋" w:hAnsi="仿宋" w:eastAsia="仿宋" w:cs="仿宋"/>
          <w:sz w:val="32"/>
          <w:szCs w:val="32"/>
        </w:rPr>
        <w:t>等项目，满足城乡消费品和电商物流分拨、配送、包装等快速增长的市场需求。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64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四是</w:t>
      </w:r>
      <w:r>
        <w:rPr>
          <w:rFonts w:hint="eastAsia" w:ascii="楷体" w:hAnsi="楷体" w:eastAsia="楷体" w:cs="楷体"/>
          <w:sz w:val="32"/>
          <w:szCs w:val="32"/>
        </w:rPr>
        <w:t>谋划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推进</w:t>
      </w:r>
      <w:r>
        <w:rPr>
          <w:rFonts w:hint="eastAsia" w:ascii="楷体" w:hAnsi="楷体" w:eastAsia="楷体" w:cs="楷体"/>
          <w:sz w:val="32"/>
          <w:szCs w:val="32"/>
        </w:rPr>
        <w:t>一批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重点</w:t>
      </w:r>
      <w:r>
        <w:rPr>
          <w:rFonts w:hint="eastAsia" w:ascii="楷体" w:hAnsi="楷体" w:eastAsia="楷体" w:cs="楷体"/>
          <w:sz w:val="32"/>
          <w:szCs w:val="32"/>
        </w:rPr>
        <w:t>项目。</w:t>
      </w:r>
      <w:r>
        <w:rPr>
          <w:rFonts w:hint="eastAsia" w:ascii="仿宋" w:hAnsi="仿宋" w:eastAsia="仿宋" w:cs="仿宋"/>
          <w:sz w:val="32"/>
          <w:szCs w:val="32"/>
        </w:rPr>
        <w:t>一是迎接唐白河航道整治、港口开发建设机遇，挖掘水运成本优势，围绕钢铁、砂石、矿石、化工产品等，规划布局公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铁</w:t>
      </w:r>
      <w:r>
        <w:rPr>
          <w:rFonts w:hint="eastAsia" w:ascii="仿宋" w:hAnsi="仿宋" w:eastAsia="仿宋" w:cs="仿宋"/>
          <w:sz w:val="32"/>
          <w:szCs w:val="32"/>
        </w:rPr>
        <w:t>水联运物流项目，为襄阳东部制造企业、商贸企业提供低成本、高标准的大宗货物物流解决方案。二是整合冷链市场资源，集中规划建设襄州冷链物流基地项目，形成城区集配、镇村形成网络的冷链仓配服务体系。三是扶持2—3家大型物流企业牵头，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大力支持网络货运平台项目，引导</w:t>
      </w:r>
      <w:r>
        <w:rPr>
          <w:rFonts w:hint="eastAsia" w:ascii="仿宋" w:hAnsi="仿宋" w:eastAsia="仿宋" w:cs="仿宋"/>
          <w:sz w:val="32"/>
          <w:szCs w:val="32"/>
        </w:rPr>
        <w:t>中小物流企业参与“网上物流园区”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建设</w:t>
      </w:r>
      <w:r>
        <w:rPr>
          <w:rFonts w:hint="eastAsia" w:ascii="仿宋" w:hAnsi="仿宋" w:eastAsia="仿宋" w:cs="仿宋"/>
          <w:sz w:val="32"/>
          <w:szCs w:val="32"/>
        </w:rPr>
        <w:t>，通过物流信息有效匹配，带动服务效率提档升级。四是建立完善农村物流综合服务体系。拓展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各镇公交停保站</w:t>
      </w:r>
      <w:r>
        <w:rPr>
          <w:rFonts w:hint="eastAsia" w:ascii="仿宋" w:hAnsi="仿宋" w:eastAsia="仿宋" w:cs="仿宋"/>
          <w:sz w:val="32"/>
          <w:szCs w:val="32"/>
        </w:rPr>
        <w:t>服务功能，完善物流设施设备，推动“客货邮同站”发展，实现资源共享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。加快区级寄递物流共配中心建设，综合邮政快递业务</w:t>
      </w:r>
      <w:r>
        <w:rPr>
          <w:rFonts w:hint="eastAsia" w:ascii="仿宋" w:hAnsi="仿宋" w:eastAsia="仿宋" w:cs="仿宋"/>
          <w:sz w:val="32"/>
          <w:szCs w:val="32"/>
        </w:rPr>
        <w:t>资源，实现信息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互联</w:t>
      </w:r>
      <w:r>
        <w:rPr>
          <w:rFonts w:hint="eastAsia" w:ascii="仿宋" w:hAnsi="仿宋" w:eastAsia="仿宋" w:cs="仿宋"/>
          <w:sz w:val="32"/>
          <w:szCs w:val="32"/>
        </w:rPr>
        <w:t>共享，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货物同拣共配，</w:t>
      </w:r>
      <w:r>
        <w:rPr>
          <w:rFonts w:hint="eastAsia" w:ascii="仿宋" w:hAnsi="仿宋" w:eastAsia="仿宋" w:cs="仿宋"/>
          <w:sz w:val="32"/>
          <w:szCs w:val="32"/>
        </w:rPr>
        <w:t>畅通农产品出村进城和农资、农村消费品下乡双向流通渠道，满足农民群众“最初最后一公里”物流需求。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64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五是</w:t>
      </w:r>
      <w:r>
        <w:rPr>
          <w:rFonts w:hint="eastAsia" w:ascii="楷体" w:hAnsi="楷体" w:eastAsia="楷体" w:cs="楷体"/>
          <w:sz w:val="32"/>
          <w:szCs w:val="32"/>
        </w:rPr>
        <w:t>培育提升一批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>龙头</w:t>
      </w:r>
      <w:r>
        <w:rPr>
          <w:rFonts w:hint="eastAsia" w:ascii="楷体" w:hAnsi="楷体" w:eastAsia="楷体" w:cs="楷体"/>
          <w:sz w:val="32"/>
          <w:szCs w:val="32"/>
        </w:rPr>
        <w:t>企业。</w:t>
      </w:r>
      <w:r>
        <w:rPr>
          <w:rFonts w:hint="eastAsia" w:ascii="仿宋" w:hAnsi="仿宋" w:eastAsia="仿宋" w:cs="仿宋"/>
          <w:sz w:val="32"/>
          <w:szCs w:val="32"/>
        </w:rPr>
        <w:t>以规上物流企业（年营业额2000万元）为培育目标，组织现有各类型优质企业划行归市、入园经营，以良好的市场环境促进成长孵化，引导物流企业创牌争优，创建省级重点物流企业、省级服务业品牌、3A级以上物流企业，力争到十四五末，全区规上物流企业达到30家。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64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六是</w:t>
      </w:r>
      <w:r>
        <w:rPr>
          <w:rFonts w:hint="eastAsia" w:ascii="楷体" w:hAnsi="楷体" w:eastAsia="楷体" w:cs="楷体"/>
          <w:sz w:val="32"/>
          <w:szCs w:val="32"/>
        </w:rPr>
        <w:t>引进一批前沿项目。</w:t>
      </w:r>
      <w:r>
        <w:rPr>
          <w:rFonts w:hint="eastAsia" w:ascii="仿宋" w:hAnsi="仿宋" w:eastAsia="仿宋" w:cs="仿宋"/>
          <w:sz w:val="32"/>
          <w:szCs w:val="32"/>
        </w:rPr>
        <w:t>一是瞄准全国物流50强企业，加大招商引资力度，力争知名品牌物流企业带模式、带资金、带流量、带项目入住襄州，近期重点引进厦门象屿、中粮等供应链头部企业，大力支持期货交割仓、多式联运“一票制”等业务运作模式创新，释放物流货值的市场价值，提升增值服务水平。二是瞄准全国网络商务大平台、大企业，把握在物流领域的布局需求，积极对接引导拼多多、美团、格力、美的、海信、顺丰、圆通等品牌将区域公司布局在襄州，形成品牌企业物流的虹吸效应，带动本地物流企业入住襄州运营。三是充分挖掘物流市场资源，吸引金融、保险、汽车配件销售、物流装备等相关品牌企业入住物流园区，设立区域公司，促进物流产业补链、延链。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64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64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           2024年2月30日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3" w:usb2="00000009" w:usb3="00000000" w:csb0="400001FF" w:csb1="FFFF0000"/>
  </w:font>
  <w:font w:name="宋体">
    <w:panose1 w:val="02010600030101010101"/>
    <w:charset w:val="88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25860"/>
      <w:docPartObj>
        <w:docPartGallery w:val="autotext"/>
      </w:docPartObj>
    </w:sdtPr>
    <w:sdtContent>
      <w:p>
        <w:pPr>
          <w:pStyle w:val="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GI3ZThiZmZjMjQ0M2FmZGFiYjAzNjc1MTkyYmY4YmYifQ=="/>
  </w:docVars>
  <w:rsids>
    <w:rsidRoot w:val="00AF7480"/>
    <w:rsid w:val="0000016C"/>
    <w:rsid w:val="00024843"/>
    <w:rsid w:val="000316E3"/>
    <w:rsid w:val="000326F2"/>
    <w:rsid w:val="00057FFA"/>
    <w:rsid w:val="00064139"/>
    <w:rsid w:val="00064E64"/>
    <w:rsid w:val="00065D75"/>
    <w:rsid w:val="000671FA"/>
    <w:rsid w:val="00067E8D"/>
    <w:rsid w:val="00072CB1"/>
    <w:rsid w:val="00081C43"/>
    <w:rsid w:val="000878C9"/>
    <w:rsid w:val="0009075E"/>
    <w:rsid w:val="000937CD"/>
    <w:rsid w:val="00094903"/>
    <w:rsid w:val="000A1B28"/>
    <w:rsid w:val="000A5B0A"/>
    <w:rsid w:val="000C040D"/>
    <w:rsid w:val="000E7F9D"/>
    <w:rsid w:val="000F4DF0"/>
    <w:rsid w:val="000F7F10"/>
    <w:rsid w:val="00100A85"/>
    <w:rsid w:val="00111104"/>
    <w:rsid w:val="00112270"/>
    <w:rsid w:val="00121FF5"/>
    <w:rsid w:val="0012201A"/>
    <w:rsid w:val="00122E32"/>
    <w:rsid w:val="00122E79"/>
    <w:rsid w:val="00140A93"/>
    <w:rsid w:val="00162B1A"/>
    <w:rsid w:val="001636A4"/>
    <w:rsid w:val="001637AE"/>
    <w:rsid w:val="00166C1A"/>
    <w:rsid w:val="00171134"/>
    <w:rsid w:val="001745FA"/>
    <w:rsid w:val="00176FAF"/>
    <w:rsid w:val="001777D1"/>
    <w:rsid w:val="001851E0"/>
    <w:rsid w:val="0019239F"/>
    <w:rsid w:val="0019530B"/>
    <w:rsid w:val="001A2FF2"/>
    <w:rsid w:val="001B47BD"/>
    <w:rsid w:val="001B73B6"/>
    <w:rsid w:val="001C027E"/>
    <w:rsid w:val="001E031D"/>
    <w:rsid w:val="001E14AE"/>
    <w:rsid w:val="001E66A0"/>
    <w:rsid w:val="002205CF"/>
    <w:rsid w:val="002334CB"/>
    <w:rsid w:val="00236225"/>
    <w:rsid w:val="00242100"/>
    <w:rsid w:val="00257D17"/>
    <w:rsid w:val="00263041"/>
    <w:rsid w:val="002637A8"/>
    <w:rsid w:val="00265283"/>
    <w:rsid w:val="002852A9"/>
    <w:rsid w:val="00291737"/>
    <w:rsid w:val="00297508"/>
    <w:rsid w:val="002A34FE"/>
    <w:rsid w:val="002A596E"/>
    <w:rsid w:val="002B0263"/>
    <w:rsid w:val="002B5449"/>
    <w:rsid w:val="002C0970"/>
    <w:rsid w:val="002C226C"/>
    <w:rsid w:val="002C2386"/>
    <w:rsid w:val="002C5A0A"/>
    <w:rsid w:val="002D1405"/>
    <w:rsid w:val="002D6901"/>
    <w:rsid w:val="002F2A06"/>
    <w:rsid w:val="002F43B8"/>
    <w:rsid w:val="0030034D"/>
    <w:rsid w:val="00300770"/>
    <w:rsid w:val="00301DEF"/>
    <w:rsid w:val="00306431"/>
    <w:rsid w:val="003139F6"/>
    <w:rsid w:val="00316CE3"/>
    <w:rsid w:val="003261E3"/>
    <w:rsid w:val="003349C4"/>
    <w:rsid w:val="00344CA5"/>
    <w:rsid w:val="00350EFF"/>
    <w:rsid w:val="00351947"/>
    <w:rsid w:val="00356FDB"/>
    <w:rsid w:val="0036176D"/>
    <w:rsid w:val="003749F2"/>
    <w:rsid w:val="00390D96"/>
    <w:rsid w:val="003A694F"/>
    <w:rsid w:val="003B5B9F"/>
    <w:rsid w:val="003C203A"/>
    <w:rsid w:val="003C2B99"/>
    <w:rsid w:val="003D4C2C"/>
    <w:rsid w:val="003F4D31"/>
    <w:rsid w:val="004026F6"/>
    <w:rsid w:val="004043F9"/>
    <w:rsid w:val="00432533"/>
    <w:rsid w:val="00434784"/>
    <w:rsid w:val="004351B1"/>
    <w:rsid w:val="004354BA"/>
    <w:rsid w:val="00462561"/>
    <w:rsid w:val="004633A7"/>
    <w:rsid w:val="00473540"/>
    <w:rsid w:val="004778F6"/>
    <w:rsid w:val="0048068E"/>
    <w:rsid w:val="004812E2"/>
    <w:rsid w:val="0048132F"/>
    <w:rsid w:val="00492EE6"/>
    <w:rsid w:val="004A4CFB"/>
    <w:rsid w:val="004C44B0"/>
    <w:rsid w:val="004D142D"/>
    <w:rsid w:val="004D227B"/>
    <w:rsid w:val="004E4B69"/>
    <w:rsid w:val="004F6806"/>
    <w:rsid w:val="004F7760"/>
    <w:rsid w:val="005045C5"/>
    <w:rsid w:val="0051141A"/>
    <w:rsid w:val="005171E0"/>
    <w:rsid w:val="00534EF7"/>
    <w:rsid w:val="00535480"/>
    <w:rsid w:val="0054371F"/>
    <w:rsid w:val="00544AB4"/>
    <w:rsid w:val="0054698F"/>
    <w:rsid w:val="005520CA"/>
    <w:rsid w:val="00552742"/>
    <w:rsid w:val="00556CB7"/>
    <w:rsid w:val="0055766D"/>
    <w:rsid w:val="00564B50"/>
    <w:rsid w:val="00565509"/>
    <w:rsid w:val="00570345"/>
    <w:rsid w:val="00571EAB"/>
    <w:rsid w:val="00583167"/>
    <w:rsid w:val="00593B4D"/>
    <w:rsid w:val="005C7C6A"/>
    <w:rsid w:val="005E636B"/>
    <w:rsid w:val="005F22CD"/>
    <w:rsid w:val="00602542"/>
    <w:rsid w:val="006119A0"/>
    <w:rsid w:val="006134EC"/>
    <w:rsid w:val="00614082"/>
    <w:rsid w:val="00620856"/>
    <w:rsid w:val="00621FAC"/>
    <w:rsid w:val="00642514"/>
    <w:rsid w:val="00644F72"/>
    <w:rsid w:val="0066135A"/>
    <w:rsid w:val="00663D22"/>
    <w:rsid w:val="00664802"/>
    <w:rsid w:val="00674910"/>
    <w:rsid w:val="006818A5"/>
    <w:rsid w:val="00682518"/>
    <w:rsid w:val="006878E0"/>
    <w:rsid w:val="006A0273"/>
    <w:rsid w:val="006A56C7"/>
    <w:rsid w:val="006B4E15"/>
    <w:rsid w:val="006B58F2"/>
    <w:rsid w:val="006C322C"/>
    <w:rsid w:val="006C5D6E"/>
    <w:rsid w:val="006D0119"/>
    <w:rsid w:val="006D5166"/>
    <w:rsid w:val="006D7D6F"/>
    <w:rsid w:val="006E3A66"/>
    <w:rsid w:val="006E41FE"/>
    <w:rsid w:val="006F205D"/>
    <w:rsid w:val="006F46BA"/>
    <w:rsid w:val="007168DC"/>
    <w:rsid w:val="00721C54"/>
    <w:rsid w:val="007248AC"/>
    <w:rsid w:val="007272D2"/>
    <w:rsid w:val="00735583"/>
    <w:rsid w:val="007362D5"/>
    <w:rsid w:val="00744600"/>
    <w:rsid w:val="00746A16"/>
    <w:rsid w:val="00754600"/>
    <w:rsid w:val="00755C03"/>
    <w:rsid w:val="00757CA8"/>
    <w:rsid w:val="00760515"/>
    <w:rsid w:val="00770B76"/>
    <w:rsid w:val="0077144F"/>
    <w:rsid w:val="00783984"/>
    <w:rsid w:val="00790A74"/>
    <w:rsid w:val="00791CCB"/>
    <w:rsid w:val="00797634"/>
    <w:rsid w:val="007A149B"/>
    <w:rsid w:val="007B0864"/>
    <w:rsid w:val="007B5959"/>
    <w:rsid w:val="007C5270"/>
    <w:rsid w:val="007E23AB"/>
    <w:rsid w:val="007F59CE"/>
    <w:rsid w:val="007F600A"/>
    <w:rsid w:val="007F60E9"/>
    <w:rsid w:val="00801503"/>
    <w:rsid w:val="00801AC4"/>
    <w:rsid w:val="00802EFB"/>
    <w:rsid w:val="00807225"/>
    <w:rsid w:val="0082355B"/>
    <w:rsid w:val="00843D6A"/>
    <w:rsid w:val="00845A27"/>
    <w:rsid w:val="0084655B"/>
    <w:rsid w:val="008468F1"/>
    <w:rsid w:val="00863C81"/>
    <w:rsid w:val="0086471A"/>
    <w:rsid w:val="0086624C"/>
    <w:rsid w:val="00867BD4"/>
    <w:rsid w:val="00883EFB"/>
    <w:rsid w:val="008843B6"/>
    <w:rsid w:val="00892274"/>
    <w:rsid w:val="00892C86"/>
    <w:rsid w:val="0089427B"/>
    <w:rsid w:val="008944F9"/>
    <w:rsid w:val="00897848"/>
    <w:rsid w:val="008A3EB3"/>
    <w:rsid w:val="008B2FBA"/>
    <w:rsid w:val="008B4500"/>
    <w:rsid w:val="008B5F78"/>
    <w:rsid w:val="008B7692"/>
    <w:rsid w:val="008C3AF6"/>
    <w:rsid w:val="008C3C76"/>
    <w:rsid w:val="008C4BBC"/>
    <w:rsid w:val="008D007E"/>
    <w:rsid w:val="008D0334"/>
    <w:rsid w:val="008D3F59"/>
    <w:rsid w:val="008D44A8"/>
    <w:rsid w:val="008D51EF"/>
    <w:rsid w:val="008D6652"/>
    <w:rsid w:val="008E0009"/>
    <w:rsid w:val="008F0B4A"/>
    <w:rsid w:val="009046B8"/>
    <w:rsid w:val="00904C6D"/>
    <w:rsid w:val="00905168"/>
    <w:rsid w:val="0090636E"/>
    <w:rsid w:val="0091270F"/>
    <w:rsid w:val="00917408"/>
    <w:rsid w:val="0092086B"/>
    <w:rsid w:val="00924985"/>
    <w:rsid w:val="00924E6D"/>
    <w:rsid w:val="00926FE8"/>
    <w:rsid w:val="00932100"/>
    <w:rsid w:val="00935281"/>
    <w:rsid w:val="00941171"/>
    <w:rsid w:val="00941489"/>
    <w:rsid w:val="00941F8D"/>
    <w:rsid w:val="009428A8"/>
    <w:rsid w:val="00944599"/>
    <w:rsid w:val="00953546"/>
    <w:rsid w:val="00957789"/>
    <w:rsid w:val="00957985"/>
    <w:rsid w:val="0096099D"/>
    <w:rsid w:val="009639FA"/>
    <w:rsid w:val="00963A5B"/>
    <w:rsid w:val="009640DA"/>
    <w:rsid w:val="00971FF7"/>
    <w:rsid w:val="00972656"/>
    <w:rsid w:val="00977342"/>
    <w:rsid w:val="0098242F"/>
    <w:rsid w:val="00985165"/>
    <w:rsid w:val="0098761D"/>
    <w:rsid w:val="00987C20"/>
    <w:rsid w:val="009905C3"/>
    <w:rsid w:val="00990AF0"/>
    <w:rsid w:val="00994C88"/>
    <w:rsid w:val="00995D35"/>
    <w:rsid w:val="009A07E0"/>
    <w:rsid w:val="009A201B"/>
    <w:rsid w:val="009A469D"/>
    <w:rsid w:val="009A7D50"/>
    <w:rsid w:val="009B0119"/>
    <w:rsid w:val="009B0647"/>
    <w:rsid w:val="009B2A2D"/>
    <w:rsid w:val="009D3E66"/>
    <w:rsid w:val="009D56C9"/>
    <w:rsid w:val="009D61BF"/>
    <w:rsid w:val="009F0BA6"/>
    <w:rsid w:val="009F5D1A"/>
    <w:rsid w:val="00A00BD2"/>
    <w:rsid w:val="00A07967"/>
    <w:rsid w:val="00A113C0"/>
    <w:rsid w:val="00A16073"/>
    <w:rsid w:val="00A23F95"/>
    <w:rsid w:val="00A30828"/>
    <w:rsid w:val="00A327A2"/>
    <w:rsid w:val="00A3421E"/>
    <w:rsid w:val="00A4736D"/>
    <w:rsid w:val="00A534F4"/>
    <w:rsid w:val="00A53ECD"/>
    <w:rsid w:val="00A66D3F"/>
    <w:rsid w:val="00A70361"/>
    <w:rsid w:val="00A7176B"/>
    <w:rsid w:val="00A72B8D"/>
    <w:rsid w:val="00A7500D"/>
    <w:rsid w:val="00A8098F"/>
    <w:rsid w:val="00A845A8"/>
    <w:rsid w:val="00A91299"/>
    <w:rsid w:val="00A93059"/>
    <w:rsid w:val="00AA0EEB"/>
    <w:rsid w:val="00AB6932"/>
    <w:rsid w:val="00AC2BB0"/>
    <w:rsid w:val="00AD2B9C"/>
    <w:rsid w:val="00AE54DF"/>
    <w:rsid w:val="00AE7FE0"/>
    <w:rsid w:val="00AF08CB"/>
    <w:rsid w:val="00AF169C"/>
    <w:rsid w:val="00AF7480"/>
    <w:rsid w:val="00B15FC5"/>
    <w:rsid w:val="00B20E86"/>
    <w:rsid w:val="00B269E4"/>
    <w:rsid w:val="00B31A19"/>
    <w:rsid w:val="00B374CE"/>
    <w:rsid w:val="00B378FD"/>
    <w:rsid w:val="00B54D41"/>
    <w:rsid w:val="00B60448"/>
    <w:rsid w:val="00B60DB5"/>
    <w:rsid w:val="00B61AD2"/>
    <w:rsid w:val="00B75E4C"/>
    <w:rsid w:val="00B76F2F"/>
    <w:rsid w:val="00B77523"/>
    <w:rsid w:val="00B97DCC"/>
    <w:rsid w:val="00BA49B4"/>
    <w:rsid w:val="00BA5E6E"/>
    <w:rsid w:val="00BB6983"/>
    <w:rsid w:val="00BB7CEB"/>
    <w:rsid w:val="00BD68CF"/>
    <w:rsid w:val="00BE0BD3"/>
    <w:rsid w:val="00C00365"/>
    <w:rsid w:val="00C12029"/>
    <w:rsid w:val="00C16AEF"/>
    <w:rsid w:val="00C31EDA"/>
    <w:rsid w:val="00C34A58"/>
    <w:rsid w:val="00C367DA"/>
    <w:rsid w:val="00C37BEE"/>
    <w:rsid w:val="00C46C1E"/>
    <w:rsid w:val="00C56405"/>
    <w:rsid w:val="00C6224C"/>
    <w:rsid w:val="00C6678A"/>
    <w:rsid w:val="00C66881"/>
    <w:rsid w:val="00C67891"/>
    <w:rsid w:val="00C72CCD"/>
    <w:rsid w:val="00C7416A"/>
    <w:rsid w:val="00C8067C"/>
    <w:rsid w:val="00C84493"/>
    <w:rsid w:val="00C90EBB"/>
    <w:rsid w:val="00CA0871"/>
    <w:rsid w:val="00CA5B37"/>
    <w:rsid w:val="00CA6BBC"/>
    <w:rsid w:val="00CA7F69"/>
    <w:rsid w:val="00CB185B"/>
    <w:rsid w:val="00CB7552"/>
    <w:rsid w:val="00CC1C2F"/>
    <w:rsid w:val="00CC2E27"/>
    <w:rsid w:val="00CC48B7"/>
    <w:rsid w:val="00CD58D4"/>
    <w:rsid w:val="00CD7120"/>
    <w:rsid w:val="00CF157D"/>
    <w:rsid w:val="00CF4EE5"/>
    <w:rsid w:val="00CF6BCC"/>
    <w:rsid w:val="00D04B90"/>
    <w:rsid w:val="00D0717F"/>
    <w:rsid w:val="00D13D2C"/>
    <w:rsid w:val="00D20DA1"/>
    <w:rsid w:val="00D2421C"/>
    <w:rsid w:val="00D25DA5"/>
    <w:rsid w:val="00D37DB8"/>
    <w:rsid w:val="00D55A87"/>
    <w:rsid w:val="00D82FEC"/>
    <w:rsid w:val="00D9028B"/>
    <w:rsid w:val="00D93338"/>
    <w:rsid w:val="00D97C49"/>
    <w:rsid w:val="00DA2074"/>
    <w:rsid w:val="00DA315D"/>
    <w:rsid w:val="00DA4454"/>
    <w:rsid w:val="00DA62C7"/>
    <w:rsid w:val="00DB0658"/>
    <w:rsid w:val="00DC3DAA"/>
    <w:rsid w:val="00DC5093"/>
    <w:rsid w:val="00DD5E97"/>
    <w:rsid w:val="00DE79D4"/>
    <w:rsid w:val="00DF7CA5"/>
    <w:rsid w:val="00E16869"/>
    <w:rsid w:val="00E30EAF"/>
    <w:rsid w:val="00E3266D"/>
    <w:rsid w:val="00E467D4"/>
    <w:rsid w:val="00E6082A"/>
    <w:rsid w:val="00E613C8"/>
    <w:rsid w:val="00E636F6"/>
    <w:rsid w:val="00E65F8C"/>
    <w:rsid w:val="00E7083B"/>
    <w:rsid w:val="00E74FFC"/>
    <w:rsid w:val="00E76FF1"/>
    <w:rsid w:val="00E80644"/>
    <w:rsid w:val="00E84177"/>
    <w:rsid w:val="00E93489"/>
    <w:rsid w:val="00E97E91"/>
    <w:rsid w:val="00EA25D5"/>
    <w:rsid w:val="00EB278D"/>
    <w:rsid w:val="00EC0CC5"/>
    <w:rsid w:val="00EC32EE"/>
    <w:rsid w:val="00ED126A"/>
    <w:rsid w:val="00ED7A6D"/>
    <w:rsid w:val="00EE2551"/>
    <w:rsid w:val="00EF158F"/>
    <w:rsid w:val="00EF1A29"/>
    <w:rsid w:val="00EF6AC2"/>
    <w:rsid w:val="00F07932"/>
    <w:rsid w:val="00F10D3B"/>
    <w:rsid w:val="00F16A25"/>
    <w:rsid w:val="00F17C2C"/>
    <w:rsid w:val="00F21CB9"/>
    <w:rsid w:val="00F31A40"/>
    <w:rsid w:val="00F61D64"/>
    <w:rsid w:val="00F67183"/>
    <w:rsid w:val="00F67DF3"/>
    <w:rsid w:val="00F726DA"/>
    <w:rsid w:val="00F836B9"/>
    <w:rsid w:val="00F84365"/>
    <w:rsid w:val="00F92606"/>
    <w:rsid w:val="00F95A0A"/>
    <w:rsid w:val="00F95EE5"/>
    <w:rsid w:val="00FA054C"/>
    <w:rsid w:val="00FA08FC"/>
    <w:rsid w:val="00FA4C3C"/>
    <w:rsid w:val="00FB733A"/>
    <w:rsid w:val="00FD52E3"/>
    <w:rsid w:val="00FE1CC2"/>
    <w:rsid w:val="00FE3794"/>
    <w:rsid w:val="00FF51DB"/>
    <w:rsid w:val="00FF6BC4"/>
    <w:rsid w:val="00FF7BDB"/>
    <w:rsid w:val="09A51E2F"/>
    <w:rsid w:val="13FC6CE6"/>
    <w:rsid w:val="15B61F2F"/>
    <w:rsid w:val="1B017449"/>
    <w:rsid w:val="1D871819"/>
    <w:rsid w:val="207276F8"/>
    <w:rsid w:val="21735435"/>
    <w:rsid w:val="219204DC"/>
    <w:rsid w:val="2A5D287F"/>
    <w:rsid w:val="2BBF3B5B"/>
    <w:rsid w:val="2CC3497C"/>
    <w:rsid w:val="2CEA650A"/>
    <w:rsid w:val="2D224458"/>
    <w:rsid w:val="2D764AAE"/>
    <w:rsid w:val="30E30466"/>
    <w:rsid w:val="333D4D77"/>
    <w:rsid w:val="38F1557D"/>
    <w:rsid w:val="45C073F0"/>
    <w:rsid w:val="49A5056F"/>
    <w:rsid w:val="4F8D2759"/>
    <w:rsid w:val="5A157EF6"/>
    <w:rsid w:val="66B91FFC"/>
    <w:rsid w:val="712A32DA"/>
    <w:rsid w:val="7AB72291"/>
    <w:rsid w:val="7C44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qFormat="1" w:unhideWhenUsed="0" w:uiPriority="99" w:semiHidden="0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link w:val="11"/>
    <w:autoRedefine/>
    <w:qFormat/>
    <w:uiPriority w:val="0"/>
    <w:pPr>
      <w:spacing w:after="0"/>
      <w:ind w:firstLine="420" w:firstLineChars="200"/>
    </w:pPr>
    <w:rPr>
      <w:rFonts w:ascii="Times New Roman" w:hAnsi="Times New Roman" w:eastAsia="宋体" w:cs="Times New Roman"/>
      <w:sz w:val="30"/>
      <w:szCs w:val="20"/>
    </w:rPr>
  </w:style>
  <w:style w:type="paragraph" w:styleId="3">
    <w:name w:val="Body Text Indent"/>
    <w:basedOn w:val="1"/>
    <w:next w:val="4"/>
    <w:link w:val="10"/>
    <w:autoRedefine/>
    <w:semiHidden/>
    <w:unhideWhenUsed/>
    <w:qFormat/>
    <w:uiPriority w:val="99"/>
    <w:pPr>
      <w:spacing w:after="120"/>
      <w:ind w:left="420" w:leftChars="200"/>
    </w:pPr>
  </w:style>
  <w:style w:type="paragraph" w:styleId="4">
    <w:name w:val="envelope return"/>
    <w:basedOn w:val="1"/>
    <w:autoRedefine/>
    <w:qFormat/>
    <w:uiPriority w:val="99"/>
    <w:pPr>
      <w:snapToGrid w:val="0"/>
    </w:pPr>
    <w:rPr>
      <w:rFonts w:ascii="Arial" w:hAnsi="Arial"/>
    </w:rPr>
  </w:style>
  <w:style w:type="paragraph" w:styleId="5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autoRedefine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0">
    <w:name w:val="正文文本缩进 Char"/>
    <w:basedOn w:val="8"/>
    <w:link w:val="3"/>
    <w:autoRedefine/>
    <w:semiHidden/>
    <w:qFormat/>
    <w:uiPriority w:val="99"/>
  </w:style>
  <w:style w:type="character" w:customStyle="1" w:styleId="11">
    <w:name w:val="正文首行缩进 2 Char"/>
    <w:basedOn w:val="10"/>
    <w:link w:val="2"/>
    <w:autoRedefine/>
    <w:qFormat/>
    <w:uiPriority w:val="0"/>
    <w:rPr>
      <w:rFonts w:ascii="Times New Roman" w:hAnsi="Times New Roman" w:eastAsia="宋体" w:cs="Times New Roman"/>
      <w:sz w:val="30"/>
      <w:szCs w:val="20"/>
    </w:rPr>
  </w:style>
  <w:style w:type="character" w:customStyle="1" w:styleId="12">
    <w:name w:val="页眉 Char"/>
    <w:basedOn w:val="8"/>
    <w:link w:val="6"/>
    <w:autoRedefine/>
    <w:semiHidden/>
    <w:qFormat/>
    <w:uiPriority w:val="99"/>
    <w:rPr>
      <w:kern w:val="2"/>
      <w:sz w:val="18"/>
      <w:szCs w:val="18"/>
    </w:rPr>
  </w:style>
  <w:style w:type="character" w:customStyle="1" w:styleId="13">
    <w:name w:val="页脚 Char"/>
    <w:basedOn w:val="8"/>
    <w:link w:val="5"/>
    <w:autoRedefine/>
    <w:qFormat/>
    <w:uiPriority w:val="99"/>
    <w:rPr>
      <w:kern w:val="2"/>
      <w:sz w:val="18"/>
      <w:szCs w:val="18"/>
    </w:rPr>
  </w:style>
  <w:style w:type="paragraph" w:customStyle="1" w:styleId="14">
    <w:name w:val="p0"/>
    <w:basedOn w:val="1"/>
    <w:autoRedefine/>
    <w:uiPriority w:val="0"/>
    <w:pPr>
      <w:widowControl/>
    </w:pPr>
    <w:rPr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5256</Words>
  <Characters>5314</Characters>
  <Lines>38</Lines>
  <Paragraphs>10</Paragraphs>
  <TotalTime>21</TotalTime>
  <ScaleCrop>false</ScaleCrop>
  <LinksUpToDate>false</LinksUpToDate>
  <CharactersWithSpaces>5332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2021-10-17T01:14:00Z</dcterms:created>
  <dc:creator>Lenovo</dc:creator>
  <cp:lastModifiedBy>Administrator</cp:lastModifiedBy>
  <cp:lastPrinted>2021-10-17T02:07:00Z</cp:lastPrinted>
  <dcterms:modified xsi:type="dcterms:W3CDTF">2024-03-01T03:22:47Z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93D768F2EE884CF49DFB99603C8E4336</vt:lpwstr>
  </property>
</Properties>
</file>