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F3188">
      <w:pPr>
        <w:keepNext w:val="0"/>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32"/>
          <w:szCs w:val="32"/>
          <w:highlight w:val="none"/>
          <w:lang w:val="en-US" w:eastAsia="zh-CN"/>
        </w:rPr>
      </w:pPr>
    </w:p>
    <w:p w14:paraId="68A631A0">
      <w:pPr>
        <w:keepNext w:val="0"/>
        <w:keepLines w:val="0"/>
        <w:pageBreakBefore w:val="0"/>
        <w:widowControl w:val="0"/>
        <w:kinsoku/>
        <w:wordWrap/>
        <w:overflowPunct/>
        <w:topLinePunct w:val="0"/>
        <w:autoSpaceDE/>
        <w:autoSpaceDN/>
        <w:bidi w:val="0"/>
        <w:adjustRightInd/>
        <w:snapToGrid/>
        <w:jc w:val="center"/>
        <w:textAlignment w:val="auto"/>
        <w:rPr>
          <w:rFonts w:hint="eastAsia" w:ascii="方正小标宋_GBK" w:hAnsi="方正小标宋_GBK" w:eastAsia="方正小标宋_GBK" w:cs="方正小标宋_GBK"/>
          <w:b w:val="0"/>
          <w:bCs w:val="0"/>
          <w:sz w:val="44"/>
          <w:szCs w:val="44"/>
          <w:highlight w:val="none"/>
          <w:lang w:val="en-US" w:eastAsia="zh-CN"/>
        </w:rPr>
      </w:pPr>
      <w:r>
        <w:rPr>
          <w:rFonts w:hint="eastAsia" w:ascii="方正小标宋_GBK" w:hAnsi="方正小标宋_GBK" w:eastAsia="方正小标宋_GBK" w:cs="方正小标宋_GBK"/>
          <w:b w:val="0"/>
          <w:bCs w:val="0"/>
          <w:sz w:val="44"/>
          <w:szCs w:val="44"/>
          <w:highlight w:val="none"/>
          <w:lang w:eastAsia="zh-CN"/>
        </w:rPr>
        <w:t>襄州区根植性</w:t>
      </w:r>
      <w:r>
        <w:rPr>
          <w:rFonts w:hint="eastAsia" w:ascii="方正小标宋_GBK" w:hAnsi="方正小标宋_GBK" w:eastAsia="方正小标宋_GBK" w:cs="方正小标宋_GBK"/>
          <w:b w:val="0"/>
          <w:bCs w:val="0"/>
          <w:sz w:val="44"/>
          <w:szCs w:val="44"/>
          <w:highlight w:val="none"/>
        </w:rPr>
        <w:t>主导产业</w:t>
      </w:r>
      <w:r>
        <w:rPr>
          <w:rFonts w:hint="eastAsia" w:ascii="方正小标宋_GBK" w:hAnsi="方正小标宋_GBK" w:eastAsia="方正小标宋_GBK" w:cs="方正小标宋_GBK"/>
          <w:b w:val="0"/>
          <w:bCs w:val="0"/>
          <w:sz w:val="44"/>
          <w:szCs w:val="44"/>
          <w:highlight w:val="none"/>
          <w:lang w:eastAsia="zh-CN"/>
        </w:rPr>
        <w:t>情况表</w:t>
      </w:r>
    </w:p>
    <w:tbl>
      <w:tblPr>
        <w:tblStyle w:val="8"/>
        <w:tblW w:w="146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73"/>
        <w:gridCol w:w="1311"/>
        <w:gridCol w:w="1074"/>
        <w:gridCol w:w="1020"/>
        <w:gridCol w:w="2955"/>
        <w:gridCol w:w="5841"/>
      </w:tblGrid>
      <w:tr w14:paraId="3CAB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4691" w:type="dxa"/>
            <w:gridSpan w:val="7"/>
            <w:noWrap w:val="0"/>
            <w:vAlign w:val="center"/>
          </w:tcPr>
          <w:p w14:paraId="25385BB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spacing w:val="0"/>
                <w:kern w:val="21"/>
                <w:sz w:val="21"/>
                <w:szCs w:val="21"/>
                <w:highlight w:val="none"/>
                <w:lang w:eastAsia="zh-CN"/>
              </w:rPr>
            </w:pPr>
            <w:r>
              <w:rPr>
                <w:rFonts w:hint="eastAsia" w:ascii="仿宋_GB2312" w:hAnsi="仿宋_GB2312" w:eastAsia="仿宋_GB2312" w:cs="仿宋_GB2312"/>
                <w:spacing w:val="0"/>
                <w:kern w:val="21"/>
                <w:sz w:val="28"/>
                <w:szCs w:val="28"/>
                <w:highlight w:val="none"/>
                <w:lang w:val="en-US" w:eastAsia="zh-CN"/>
              </w:rPr>
              <w:t>县</w:t>
            </w:r>
            <w:r>
              <w:rPr>
                <w:rFonts w:hint="eastAsia" w:ascii="仿宋_GB2312" w:hAnsi="仿宋_GB2312" w:eastAsia="仿宋_GB2312" w:cs="仿宋_GB2312"/>
                <w:spacing w:val="0"/>
                <w:kern w:val="21"/>
                <w:sz w:val="28"/>
                <w:szCs w:val="28"/>
                <w:highlight w:val="none"/>
              </w:rPr>
              <w:t>情</w:t>
            </w:r>
            <w:r>
              <w:rPr>
                <w:rFonts w:hint="eastAsia" w:ascii="仿宋_GB2312" w:hAnsi="仿宋_GB2312" w:eastAsia="仿宋_GB2312" w:cs="仿宋_GB2312"/>
                <w:spacing w:val="0"/>
                <w:kern w:val="21"/>
                <w:sz w:val="28"/>
                <w:szCs w:val="28"/>
                <w:highlight w:val="none"/>
                <w:lang w:eastAsia="zh-CN"/>
              </w:rPr>
              <w:t>概况</w:t>
            </w:r>
          </w:p>
        </w:tc>
      </w:tr>
      <w:tr w14:paraId="0622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2" w:hRule="exact"/>
        </w:trPr>
        <w:tc>
          <w:tcPr>
            <w:tcW w:w="14691" w:type="dxa"/>
            <w:gridSpan w:val="7"/>
            <w:noWrap w:val="0"/>
            <w:vAlign w:val="center"/>
          </w:tcPr>
          <w:p w14:paraId="3E14AEE1">
            <w:pPr>
              <w:keepNext w:val="0"/>
              <w:keepLines w:val="0"/>
              <w:pageBreakBefore w:val="0"/>
              <w:widowControl w:val="0"/>
              <w:kinsoku/>
              <w:wordWrap/>
              <w:overflowPunct/>
              <w:topLinePunct w:val="0"/>
              <w:autoSpaceDE/>
              <w:autoSpaceDN/>
              <w:bidi w:val="0"/>
              <w:adjustRightInd w:val="0"/>
              <w:snapToGrid w:val="0"/>
              <w:spacing w:line="320" w:lineRule="exact"/>
              <w:ind w:firstLine="480" w:firstLineChars="200"/>
              <w:jc w:val="lef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襄阳市襄州区位于</w:t>
            </w:r>
            <w:r>
              <w:rPr>
                <w:rFonts w:hint="eastAsia" w:ascii="仿宋_GB2312" w:hAnsi="仿宋_GB2312" w:eastAsia="仿宋_GB2312" w:cs="仿宋_GB2312"/>
                <w:sz w:val="24"/>
                <w:szCs w:val="24"/>
                <w:lang w:val="en-US" w:eastAsia="zh-CN"/>
              </w:rPr>
              <w:fldChar w:fldCharType="begin"/>
            </w:r>
            <w:r>
              <w:rPr>
                <w:rFonts w:hint="eastAsia" w:ascii="仿宋_GB2312" w:hAnsi="仿宋_GB2312" w:eastAsia="仿宋_GB2312" w:cs="仿宋_GB2312"/>
                <w:sz w:val="24"/>
                <w:szCs w:val="24"/>
                <w:lang w:val="en-US" w:eastAsia="zh-CN"/>
              </w:rPr>
              <w:instrText xml:space="preserve"> HYPERLINK "https://baike.baidu.com/item/%E6%B9%96%E5%8C%97%E7%9C%81/210064?fromModule=lemma_inlink" \t "https://baike.baidu.com/item/%E8%A5%84%E5%B7%9E%E5%8C%BA/_blank" </w:instrText>
            </w:r>
            <w:r>
              <w:rPr>
                <w:rFonts w:hint="eastAsia" w:ascii="仿宋_GB2312" w:hAnsi="仿宋_GB2312" w:eastAsia="仿宋_GB2312" w:cs="仿宋_GB2312"/>
                <w:sz w:val="24"/>
                <w:szCs w:val="24"/>
                <w:lang w:val="en-US" w:eastAsia="zh-CN"/>
              </w:rPr>
              <w:fldChar w:fldCharType="separate"/>
            </w:r>
            <w:r>
              <w:rPr>
                <w:rFonts w:hint="eastAsia" w:ascii="仿宋_GB2312" w:hAnsi="仿宋_GB2312" w:eastAsia="仿宋_GB2312" w:cs="仿宋_GB2312"/>
                <w:sz w:val="24"/>
                <w:szCs w:val="24"/>
                <w:lang w:val="en-US" w:eastAsia="zh-CN"/>
              </w:rPr>
              <w:t>湖北省</w:t>
            </w:r>
            <w:r>
              <w:rPr>
                <w:rFonts w:hint="eastAsia" w:ascii="仿宋_GB2312" w:hAnsi="仿宋_GB2312" w:eastAsia="仿宋_GB2312" w:cs="仿宋_GB2312"/>
                <w:sz w:val="24"/>
                <w:szCs w:val="24"/>
                <w:lang w:val="en-US" w:eastAsia="zh-CN"/>
              </w:rPr>
              <w:fldChar w:fldCharType="end"/>
            </w:r>
            <w:r>
              <w:rPr>
                <w:rFonts w:hint="eastAsia" w:ascii="仿宋_GB2312" w:hAnsi="仿宋_GB2312" w:eastAsia="仿宋_GB2312" w:cs="仿宋_GB2312"/>
                <w:sz w:val="24"/>
                <w:szCs w:val="24"/>
                <w:lang w:val="en-US" w:eastAsia="zh-CN"/>
              </w:rPr>
              <w:t>西北部、</w:t>
            </w:r>
            <w:r>
              <w:rPr>
                <w:rFonts w:hint="eastAsia" w:ascii="仿宋_GB2312" w:hAnsi="仿宋_GB2312" w:eastAsia="仿宋_GB2312" w:cs="仿宋_GB2312"/>
                <w:sz w:val="24"/>
                <w:szCs w:val="24"/>
                <w:lang w:val="en-US" w:eastAsia="zh-CN"/>
              </w:rPr>
              <w:fldChar w:fldCharType="begin"/>
            </w:r>
            <w:r>
              <w:rPr>
                <w:rFonts w:hint="eastAsia" w:ascii="仿宋_GB2312" w:hAnsi="仿宋_GB2312" w:eastAsia="仿宋_GB2312" w:cs="仿宋_GB2312"/>
                <w:sz w:val="24"/>
                <w:szCs w:val="24"/>
                <w:lang w:val="en-US" w:eastAsia="zh-CN"/>
              </w:rPr>
              <w:instrText xml:space="preserve"> HYPERLINK "https://baike.baidu.com/item/%E6%B1%89%E6%B1%9F/14144?fromModule=lemma_inlink" \t "https://baike.baidu.com/item/%E8%A5%84%E5%B7%9E%E5%8C%BA/_blank" </w:instrText>
            </w:r>
            <w:r>
              <w:rPr>
                <w:rFonts w:hint="eastAsia" w:ascii="仿宋_GB2312" w:hAnsi="仿宋_GB2312" w:eastAsia="仿宋_GB2312" w:cs="仿宋_GB2312"/>
                <w:sz w:val="24"/>
                <w:szCs w:val="24"/>
                <w:lang w:val="en-US" w:eastAsia="zh-CN"/>
              </w:rPr>
              <w:fldChar w:fldCharType="separate"/>
            </w:r>
            <w:r>
              <w:rPr>
                <w:rFonts w:hint="eastAsia" w:ascii="仿宋_GB2312" w:hAnsi="仿宋_GB2312" w:eastAsia="仿宋_GB2312" w:cs="仿宋_GB2312"/>
                <w:sz w:val="24"/>
                <w:szCs w:val="24"/>
                <w:lang w:val="en-US" w:eastAsia="zh-CN"/>
              </w:rPr>
              <w:t>汉江</w:t>
            </w:r>
            <w:r>
              <w:rPr>
                <w:rFonts w:hint="eastAsia" w:ascii="仿宋_GB2312" w:hAnsi="仿宋_GB2312" w:eastAsia="仿宋_GB2312" w:cs="仿宋_GB2312"/>
                <w:sz w:val="24"/>
                <w:szCs w:val="24"/>
                <w:lang w:val="en-US" w:eastAsia="zh-CN"/>
              </w:rPr>
              <w:fldChar w:fldCharType="end"/>
            </w:r>
            <w:r>
              <w:rPr>
                <w:rFonts w:hint="eastAsia" w:ascii="仿宋_GB2312" w:hAnsi="仿宋_GB2312" w:eastAsia="仿宋_GB2312" w:cs="仿宋_GB2312"/>
                <w:sz w:val="24"/>
                <w:szCs w:val="24"/>
                <w:lang w:val="en-US" w:eastAsia="zh-CN"/>
              </w:rPr>
              <w:t>中游，属平原地形地貌，国土面积2306平方公里，常住人口78.6万人，城镇化率为65.76%。盛产“正大猪肉制品””、“丰庆源”面粉（面条）、“卧龙锅巴”、“元大食用油”等农特产品，荣获“国家级小麦制种大县”“全国农业科技现代化先行县”“国家现代农业产业园创建县（市、区），入选国家农业产业融合发展试点。2024年，实现地区生产总值856.44亿元，三次产业比例为13.5：38.9：47.6，规上工业企业255家，高新技术企业166家，“四上”企业营业收入657.76亿元，地方一般公共预算收入27.49亿元，外贸出口19.2亿元，实际利用外资1355.7万美元，城镇常住居民人均可支配收入为45507元，农村常住居民人均可支配收入为28623元。</w:t>
            </w:r>
          </w:p>
          <w:p w14:paraId="38D937B3">
            <w:pPr>
              <w:pStyle w:val="2"/>
              <w:rPr>
                <w:rFonts w:hint="eastAsia" w:ascii="仿宋" w:hAnsi="仿宋" w:eastAsia="仿宋" w:cs="仿宋"/>
                <w:spacing w:val="0"/>
                <w:kern w:val="21"/>
                <w:sz w:val="24"/>
                <w:szCs w:val="24"/>
                <w:highlight w:val="none"/>
                <w:lang w:val="en-US" w:eastAsia="zh-CN"/>
              </w:rPr>
            </w:pPr>
            <w:r>
              <w:rPr>
                <w:rFonts w:hint="eastAsia" w:ascii="仿宋" w:hAnsi="仿宋" w:eastAsia="仿宋" w:cs="仿宋"/>
                <w:spacing w:val="0"/>
                <w:kern w:val="21"/>
                <w:sz w:val="24"/>
                <w:szCs w:val="24"/>
                <w:highlight w:val="none"/>
                <w:lang w:val="en-US" w:eastAsia="zh-CN"/>
              </w:rPr>
              <w:t xml:space="preserve"> </w:t>
            </w:r>
          </w:p>
          <w:p w14:paraId="072C8175">
            <w:pPr>
              <w:rPr>
                <w:rFonts w:hint="default"/>
                <w:lang w:val="en-US" w:eastAsia="zh-CN"/>
              </w:rPr>
            </w:pPr>
          </w:p>
        </w:tc>
      </w:tr>
      <w:tr w14:paraId="14127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center"/>
          </w:tcPr>
          <w:p w14:paraId="06DD74F1">
            <w:pPr>
              <w:pStyle w:val="11"/>
              <w:rPr>
                <w:rFonts w:hint="eastAsia" w:ascii="仿宋_GB2312" w:hAnsi="仿宋_GB2312" w:eastAsia="仿宋_GB2312" w:cs="仿宋_GB2312"/>
                <w:spacing w:val="0"/>
                <w:kern w:val="21"/>
                <w:sz w:val="24"/>
                <w:szCs w:val="24"/>
                <w:highlight w:val="none"/>
              </w:rPr>
            </w:pPr>
            <w:r>
              <w:t>序号</w:t>
            </w:r>
          </w:p>
        </w:tc>
        <w:tc>
          <w:tcPr>
            <w:tcW w:w="1273" w:type="dxa"/>
            <w:noWrap w:val="0"/>
            <w:vAlign w:val="center"/>
          </w:tcPr>
          <w:p w14:paraId="32DE7E75">
            <w:pPr>
              <w:pStyle w:val="11"/>
              <w:rPr>
                <w:rFonts w:hint="eastAsia" w:ascii="仿宋_GB2312" w:hAnsi="仿宋_GB2312" w:eastAsia="仿宋_GB2312" w:cs="仿宋_GB2312"/>
                <w:spacing w:val="0"/>
                <w:kern w:val="21"/>
                <w:sz w:val="24"/>
                <w:szCs w:val="24"/>
                <w:highlight w:val="none"/>
              </w:rPr>
            </w:pPr>
            <w:r>
              <w:t>产业名称</w:t>
            </w:r>
          </w:p>
        </w:tc>
        <w:tc>
          <w:tcPr>
            <w:tcW w:w="1311" w:type="dxa"/>
            <w:noWrap w:val="0"/>
            <w:vAlign w:val="center"/>
          </w:tcPr>
          <w:p w14:paraId="5CAA1339">
            <w:pPr>
              <w:pStyle w:val="11"/>
            </w:pPr>
            <w:r>
              <w:rPr>
                <w:rFonts w:hint="eastAsia" w:ascii="Times New Roman" w:hAnsi="Times New Roman"/>
              </w:rPr>
              <w:t>202</w:t>
            </w:r>
            <w:r>
              <w:rPr>
                <w:rFonts w:hint="eastAsia" w:ascii="Times New Roman" w:hAnsi="Times New Roman"/>
                <w:lang w:val="en-US" w:eastAsia="zh-CN"/>
              </w:rPr>
              <w:t>4</w:t>
            </w:r>
            <w:r>
              <w:rPr>
                <w:rFonts w:hint="eastAsia"/>
              </w:rPr>
              <w:t>年规上</w:t>
            </w:r>
          </w:p>
          <w:p w14:paraId="3C0CAC07">
            <w:pPr>
              <w:pStyle w:val="11"/>
            </w:pPr>
            <w:r>
              <w:rPr>
                <w:rFonts w:hint="eastAsia"/>
              </w:rPr>
              <w:t>企业营业收入</w:t>
            </w:r>
          </w:p>
          <w:p w14:paraId="7DB5CDD9">
            <w:pPr>
              <w:pStyle w:val="11"/>
              <w:rPr>
                <w:rFonts w:hint="eastAsia" w:ascii="仿宋_GB2312" w:hAnsi="仿宋_GB2312" w:eastAsia="仿宋_GB2312" w:cs="仿宋_GB2312"/>
                <w:spacing w:val="0"/>
                <w:kern w:val="21"/>
                <w:sz w:val="24"/>
                <w:szCs w:val="24"/>
                <w:highlight w:val="none"/>
              </w:rPr>
            </w:pPr>
            <w:r>
              <w:t>（亿元）</w:t>
            </w:r>
          </w:p>
        </w:tc>
        <w:tc>
          <w:tcPr>
            <w:tcW w:w="1074" w:type="dxa"/>
            <w:noWrap w:val="0"/>
            <w:vAlign w:val="center"/>
          </w:tcPr>
          <w:p w14:paraId="3CE0F351">
            <w:pPr>
              <w:pStyle w:val="11"/>
            </w:pPr>
            <w:r>
              <w:rPr>
                <w:rFonts w:hint="eastAsia" w:ascii="Times New Roman" w:hAnsi="Times New Roman"/>
              </w:rPr>
              <w:t>202</w:t>
            </w:r>
            <w:r>
              <w:rPr>
                <w:rFonts w:hint="eastAsia" w:ascii="Times New Roman" w:hAnsi="Times New Roman"/>
                <w:lang w:val="en-US" w:eastAsia="zh-CN"/>
              </w:rPr>
              <w:t>4</w:t>
            </w:r>
            <w:r>
              <w:rPr>
                <w:rFonts w:hint="eastAsia"/>
              </w:rPr>
              <w:t>年</w:t>
            </w:r>
          </w:p>
          <w:p w14:paraId="4CF818F9">
            <w:pPr>
              <w:pStyle w:val="11"/>
            </w:pPr>
            <w:r>
              <w:rPr>
                <w:rFonts w:hint="eastAsia"/>
              </w:rPr>
              <w:t>上缴税收</w:t>
            </w:r>
          </w:p>
          <w:p w14:paraId="6314369C">
            <w:pPr>
              <w:pStyle w:val="11"/>
              <w:rPr>
                <w:rFonts w:hint="eastAsia" w:ascii="仿宋_GB2312" w:hAnsi="仿宋_GB2312" w:eastAsia="仿宋_GB2312" w:cs="仿宋_GB2312"/>
                <w:spacing w:val="0"/>
                <w:kern w:val="21"/>
                <w:sz w:val="24"/>
                <w:szCs w:val="24"/>
                <w:highlight w:val="none"/>
              </w:rPr>
            </w:pPr>
            <w:r>
              <w:t>（亿元）</w:t>
            </w:r>
          </w:p>
        </w:tc>
        <w:tc>
          <w:tcPr>
            <w:tcW w:w="1020" w:type="dxa"/>
            <w:noWrap w:val="0"/>
            <w:vAlign w:val="center"/>
          </w:tcPr>
          <w:p w14:paraId="55DD7BA0">
            <w:pPr>
              <w:pStyle w:val="11"/>
              <w:rPr>
                <w:rFonts w:hint="eastAsia" w:ascii="仿宋_GB2312" w:hAnsi="仿宋_GB2312" w:eastAsia="仿宋_GB2312" w:cs="仿宋_GB2312"/>
                <w:spacing w:val="0"/>
                <w:kern w:val="21"/>
                <w:sz w:val="24"/>
                <w:szCs w:val="24"/>
                <w:highlight w:val="none"/>
              </w:rPr>
            </w:pPr>
            <w:r>
              <w:rPr>
                <w:rFonts w:hint="eastAsia" w:ascii="Times New Roman" w:hAnsi="Times New Roman"/>
              </w:rPr>
              <w:t>202</w:t>
            </w:r>
            <w:r>
              <w:rPr>
                <w:rFonts w:hint="eastAsia" w:ascii="Times New Roman" w:hAnsi="Times New Roman"/>
                <w:lang w:val="en-US" w:eastAsia="zh-CN"/>
              </w:rPr>
              <w:t>4</w:t>
            </w:r>
            <w:r>
              <w:rPr>
                <w:rFonts w:hint="eastAsia"/>
              </w:rPr>
              <w:t>年规上企业数</w:t>
            </w:r>
            <w:r>
              <w:t>（家）</w:t>
            </w:r>
          </w:p>
        </w:tc>
        <w:tc>
          <w:tcPr>
            <w:tcW w:w="2955" w:type="dxa"/>
            <w:noWrap w:val="0"/>
            <w:vAlign w:val="center"/>
          </w:tcPr>
          <w:p w14:paraId="3547E2A3">
            <w:pPr>
              <w:pStyle w:val="11"/>
              <w:rPr>
                <w:rFonts w:hint="eastAsia" w:ascii="仿宋_GB2312" w:hAnsi="仿宋_GB2312" w:eastAsia="仿宋_GB2312" w:cs="仿宋_GB2312"/>
                <w:spacing w:val="0"/>
                <w:kern w:val="21"/>
                <w:sz w:val="24"/>
                <w:szCs w:val="24"/>
                <w:highlight w:val="none"/>
              </w:rPr>
            </w:pPr>
            <w:r>
              <w:t>产业情况</w:t>
            </w:r>
          </w:p>
        </w:tc>
        <w:tc>
          <w:tcPr>
            <w:tcW w:w="5841" w:type="dxa"/>
            <w:noWrap w:val="0"/>
            <w:vAlign w:val="center"/>
          </w:tcPr>
          <w:p w14:paraId="203273F1">
            <w:pPr>
              <w:pStyle w:val="11"/>
              <w:rPr>
                <w:rFonts w:hint="eastAsia" w:ascii="仿宋_GB2312" w:hAnsi="仿宋_GB2312" w:eastAsia="仿宋_GB2312" w:cs="仿宋_GB2312"/>
                <w:spacing w:val="0"/>
                <w:kern w:val="21"/>
                <w:sz w:val="24"/>
                <w:szCs w:val="24"/>
                <w:highlight w:val="none"/>
              </w:rPr>
            </w:pPr>
            <w:r>
              <w:t>龙头企业</w:t>
            </w:r>
          </w:p>
        </w:tc>
      </w:tr>
      <w:tr w14:paraId="5C26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8" w:hRule="exact"/>
        </w:trPr>
        <w:tc>
          <w:tcPr>
            <w:tcW w:w="1217" w:type="dxa"/>
            <w:noWrap w:val="0"/>
            <w:vAlign w:val="center"/>
          </w:tcPr>
          <w:p w14:paraId="1DB0F8B8">
            <w:pPr>
              <w:keepNext w:val="0"/>
              <w:keepLines w:val="0"/>
              <w:pageBreakBefore w:val="0"/>
              <w:kinsoku/>
              <w:wordWrap/>
              <w:overflowPunct/>
              <w:topLinePunct w:val="0"/>
              <w:bidi w:val="0"/>
              <w:adjustRightInd w:val="0"/>
              <w:snapToGrid w:val="0"/>
              <w:spacing w:line="240" w:lineRule="exact"/>
              <w:jc w:val="center"/>
              <w:rPr>
                <w:rFonts w:hint="eastAsia" w:ascii="仿宋_GB2312" w:hAnsi="仿宋_GB2312" w:eastAsia="仿宋_GB2312" w:cs="仿宋_GB2312"/>
                <w:spacing w:val="0"/>
                <w:kern w:val="21"/>
                <w:sz w:val="24"/>
                <w:szCs w:val="24"/>
                <w:highlight w:val="none"/>
              </w:rPr>
            </w:pPr>
          </w:p>
          <w:p w14:paraId="66C2FE09">
            <w:pPr>
              <w:pStyle w:val="7"/>
              <w:ind w:left="0" w:leftChars="0" w:firstLine="0" w:firstLineChars="0"/>
              <w:rPr>
                <w:rFonts w:hint="eastAsia" w:ascii="仿宋_GB2312" w:hAnsi="仿宋_GB2312" w:eastAsia="仿宋_GB2312" w:cs="仿宋_GB2312"/>
                <w:sz w:val="24"/>
                <w:szCs w:val="24"/>
                <w:highlight w:val="none"/>
                <w:lang w:eastAsia="zh-CN"/>
              </w:rPr>
            </w:pPr>
            <w:r>
              <w:rPr>
                <w:rFonts w:hint="eastAsia" w:ascii="仿宋_GB2312" w:hAnsi="仿宋_GB2312" w:eastAsia="仿宋_GB2312" w:cs="仿宋_GB2312"/>
                <w:spacing w:val="0"/>
                <w:kern w:val="21"/>
                <w:sz w:val="24"/>
                <w:szCs w:val="24"/>
                <w:highlight w:val="none"/>
                <w:lang w:val="en-US" w:eastAsia="zh-CN"/>
              </w:rPr>
              <w:t>1</w:t>
            </w:r>
          </w:p>
        </w:tc>
        <w:tc>
          <w:tcPr>
            <w:tcW w:w="1273" w:type="dxa"/>
            <w:noWrap w:val="0"/>
            <w:vAlign w:val="center"/>
          </w:tcPr>
          <w:p w14:paraId="09BF0D5F">
            <w:pPr>
              <w:keepNext w:val="0"/>
              <w:keepLines w:val="0"/>
              <w:pageBreakBefore w:val="0"/>
              <w:widowControl/>
              <w:suppressLineNumbers w:val="0"/>
              <w:kinsoku/>
              <w:wordWrap/>
              <w:overflowPunct/>
              <w:topLinePunct w:val="0"/>
              <w:autoSpaceDE/>
              <w:autoSpaceDN/>
              <w:bidi w:val="0"/>
              <w:adjustRightInd w:val="0"/>
              <w:snapToGrid w:val="0"/>
              <w:spacing w:line="240" w:lineRule="exact"/>
              <w:jc w:val="both"/>
              <w:textAlignment w:val="center"/>
              <w:rPr>
                <w:rFonts w:hint="eastAsia" w:ascii="仿宋_GB2312" w:hAnsi="仿宋_GB2312" w:eastAsia="仿宋_GB2312" w:cs="仿宋_GB2312"/>
                <w:i w:val="0"/>
                <w:color w:val="000000"/>
                <w:spacing w:val="0"/>
                <w:kern w:val="21"/>
                <w:sz w:val="24"/>
                <w:szCs w:val="24"/>
                <w:highlight w:val="none"/>
                <w:u w:val="none"/>
                <w:lang w:val="en" w:eastAsia="zh-CN" w:bidi="ar"/>
              </w:rPr>
            </w:pPr>
            <w:r>
              <w:rPr>
                <w:rFonts w:hint="eastAsia" w:ascii="仿宋_GB2312" w:hAnsi="仿宋_GB2312" w:eastAsia="仿宋_GB2312" w:cs="仿宋_GB2312"/>
                <w:spacing w:val="0"/>
                <w:kern w:val="21"/>
                <w:sz w:val="24"/>
                <w:szCs w:val="24"/>
                <w:highlight w:val="none"/>
                <w:lang w:val="en-US" w:eastAsia="zh-CN"/>
              </w:rPr>
              <w:t>农产品加工产业</w:t>
            </w:r>
          </w:p>
        </w:tc>
        <w:tc>
          <w:tcPr>
            <w:tcW w:w="1311" w:type="dxa"/>
            <w:noWrap w:val="0"/>
            <w:vAlign w:val="center"/>
          </w:tcPr>
          <w:p w14:paraId="78153444">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default"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i w:val="0"/>
                <w:color w:val="000000"/>
                <w:spacing w:val="0"/>
                <w:kern w:val="21"/>
                <w:sz w:val="24"/>
                <w:szCs w:val="24"/>
                <w:highlight w:val="none"/>
                <w:u w:val="none"/>
                <w:lang w:val="en-US" w:eastAsia="zh-CN" w:bidi="ar"/>
              </w:rPr>
              <w:t>87.7</w:t>
            </w:r>
          </w:p>
        </w:tc>
        <w:tc>
          <w:tcPr>
            <w:tcW w:w="1074" w:type="dxa"/>
            <w:noWrap w:val="0"/>
            <w:vAlign w:val="center"/>
          </w:tcPr>
          <w:p w14:paraId="44B41FFF">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default"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i w:val="0"/>
                <w:color w:val="000000"/>
                <w:spacing w:val="0"/>
                <w:kern w:val="21"/>
                <w:sz w:val="24"/>
                <w:szCs w:val="24"/>
                <w:highlight w:val="none"/>
                <w:u w:val="none"/>
                <w:lang w:val="en-US" w:eastAsia="zh-CN" w:bidi="ar"/>
              </w:rPr>
              <w:t>1.23</w:t>
            </w:r>
          </w:p>
        </w:tc>
        <w:tc>
          <w:tcPr>
            <w:tcW w:w="1020" w:type="dxa"/>
            <w:noWrap w:val="0"/>
            <w:vAlign w:val="center"/>
          </w:tcPr>
          <w:p w14:paraId="211546BD">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default"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spacing w:val="0"/>
                <w:kern w:val="21"/>
                <w:sz w:val="24"/>
                <w:szCs w:val="24"/>
                <w:highlight w:val="none"/>
                <w:lang w:val="en-US" w:eastAsia="zh-CN"/>
              </w:rPr>
              <w:t>39</w:t>
            </w:r>
          </w:p>
        </w:tc>
        <w:tc>
          <w:tcPr>
            <w:tcW w:w="2955" w:type="dxa"/>
            <w:noWrap w:val="0"/>
            <w:vAlign w:val="center"/>
          </w:tcPr>
          <w:p w14:paraId="546CF75A">
            <w:pPr>
              <w:keepNext w:val="0"/>
              <w:keepLines w:val="0"/>
              <w:pageBreakBefore w:val="0"/>
              <w:widowControl w:val="0"/>
              <w:kinsoku/>
              <w:wordWrap/>
              <w:overflowPunct/>
              <w:topLinePunct w:val="0"/>
              <w:autoSpaceDE/>
              <w:autoSpaceDN/>
              <w:bidi w:val="0"/>
              <w:adjustRightInd w:val="0"/>
              <w:snapToGrid w:val="0"/>
              <w:spacing w:line="320" w:lineRule="exact"/>
              <w:textAlignment w:val="auto"/>
              <w:rPr>
                <w:rFonts w:hint="eastAsia" w:ascii="仿宋_GB2312" w:hAnsi="仿宋_GB2312" w:eastAsia="仿宋_GB2312" w:cs="仿宋_GB2312"/>
                <w:spacing w:val="0"/>
                <w:kern w:val="21"/>
                <w:sz w:val="24"/>
                <w:szCs w:val="24"/>
                <w:highlight w:val="none"/>
                <w:lang w:eastAsia="zh-CN"/>
              </w:rPr>
            </w:pPr>
            <w:r>
              <w:rPr>
                <w:rFonts w:hint="eastAsia" w:ascii="仿宋_GB2312" w:hAnsi="仿宋_GB2312" w:eastAsia="仿宋_GB2312" w:cs="仿宋_GB2312"/>
                <w:spacing w:val="0"/>
                <w:kern w:val="21"/>
                <w:sz w:val="24"/>
                <w:szCs w:val="24"/>
                <w:highlight w:val="none"/>
                <w:lang w:eastAsia="zh-CN"/>
              </w:rPr>
              <w:t>聚集规以上企业</w:t>
            </w:r>
            <w:r>
              <w:rPr>
                <w:rFonts w:hint="eastAsia" w:ascii="仿宋_GB2312" w:hAnsi="仿宋_GB2312" w:eastAsia="仿宋_GB2312" w:cs="仿宋_GB2312"/>
                <w:spacing w:val="0"/>
                <w:kern w:val="21"/>
                <w:sz w:val="24"/>
                <w:szCs w:val="24"/>
                <w:highlight w:val="none"/>
                <w:lang w:val="en-US" w:eastAsia="zh-CN"/>
              </w:rPr>
              <w:t>39</w:t>
            </w:r>
            <w:r>
              <w:rPr>
                <w:rFonts w:hint="eastAsia" w:ascii="仿宋_GB2312" w:hAnsi="仿宋_GB2312" w:eastAsia="仿宋_GB2312" w:cs="仿宋_GB2312"/>
                <w:spacing w:val="0"/>
                <w:kern w:val="21"/>
                <w:sz w:val="24"/>
                <w:szCs w:val="24"/>
                <w:highlight w:val="none"/>
                <w:lang w:eastAsia="zh-CN"/>
              </w:rPr>
              <w:t>家，其中高新技术企业</w:t>
            </w:r>
            <w:r>
              <w:rPr>
                <w:rFonts w:hint="eastAsia" w:ascii="仿宋_GB2312" w:hAnsi="仿宋_GB2312" w:eastAsia="仿宋_GB2312" w:cs="仿宋_GB2312"/>
                <w:spacing w:val="0"/>
                <w:kern w:val="21"/>
                <w:sz w:val="24"/>
                <w:szCs w:val="24"/>
                <w:highlight w:val="none"/>
                <w:lang w:val="en-US" w:eastAsia="zh-CN"/>
              </w:rPr>
              <w:t>8</w:t>
            </w:r>
            <w:r>
              <w:rPr>
                <w:rFonts w:hint="eastAsia" w:ascii="仿宋_GB2312" w:hAnsi="仿宋_GB2312" w:eastAsia="仿宋_GB2312" w:cs="仿宋_GB2312"/>
                <w:spacing w:val="0"/>
                <w:kern w:val="21"/>
                <w:sz w:val="24"/>
                <w:szCs w:val="24"/>
                <w:highlight w:val="none"/>
                <w:lang w:eastAsia="zh-CN"/>
              </w:rPr>
              <w:t>家。主要产品猪肉制品、食用油、面粉、面条、大米、休闲食品、饲料等深加工农产品。202</w:t>
            </w:r>
            <w:r>
              <w:rPr>
                <w:rFonts w:hint="eastAsia" w:ascii="仿宋_GB2312" w:hAnsi="仿宋_GB2312" w:eastAsia="仿宋_GB2312" w:cs="仿宋_GB2312"/>
                <w:spacing w:val="0"/>
                <w:kern w:val="21"/>
                <w:sz w:val="24"/>
                <w:szCs w:val="24"/>
                <w:highlight w:val="none"/>
                <w:lang w:val="en-US" w:eastAsia="zh-CN"/>
              </w:rPr>
              <w:t>4</w:t>
            </w:r>
            <w:r>
              <w:rPr>
                <w:rFonts w:hint="eastAsia" w:ascii="仿宋_GB2312" w:hAnsi="仿宋_GB2312" w:eastAsia="仿宋_GB2312" w:cs="仿宋_GB2312"/>
                <w:spacing w:val="0"/>
                <w:kern w:val="21"/>
                <w:sz w:val="24"/>
                <w:szCs w:val="24"/>
                <w:highlight w:val="none"/>
                <w:lang w:eastAsia="zh-CN"/>
              </w:rPr>
              <w:t>年，营业收入</w:t>
            </w:r>
            <w:r>
              <w:rPr>
                <w:rFonts w:hint="eastAsia" w:ascii="仿宋_GB2312" w:hAnsi="仿宋_GB2312" w:eastAsia="仿宋_GB2312" w:cs="仿宋_GB2312"/>
                <w:spacing w:val="0"/>
                <w:kern w:val="21"/>
                <w:sz w:val="24"/>
                <w:szCs w:val="24"/>
                <w:highlight w:val="none"/>
                <w:lang w:val="en-US" w:eastAsia="zh-CN"/>
              </w:rPr>
              <w:t>87.7亿元、增长-4.33%，营业收入本区</w:t>
            </w:r>
            <w:r>
              <w:rPr>
                <w:rFonts w:hint="eastAsia" w:ascii="仿宋_GB2312" w:hAnsi="仿宋_GB2312" w:eastAsia="仿宋_GB2312" w:cs="仿宋_GB2312"/>
                <w:spacing w:val="0"/>
                <w:kern w:val="21"/>
                <w:sz w:val="24"/>
                <w:szCs w:val="24"/>
                <w:highlight w:val="none"/>
                <w:lang w:eastAsia="zh-CN"/>
              </w:rPr>
              <w:t>占比为</w:t>
            </w:r>
            <w:r>
              <w:rPr>
                <w:rFonts w:hint="eastAsia" w:ascii="仿宋_GB2312" w:hAnsi="仿宋_GB2312" w:eastAsia="仿宋_GB2312" w:cs="仿宋_GB2312"/>
                <w:spacing w:val="0"/>
                <w:kern w:val="21"/>
                <w:sz w:val="24"/>
                <w:szCs w:val="24"/>
                <w:highlight w:val="none"/>
                <w:lang w:val="en-US" w:eastAsia="zh-CN"/>
              </w:rPr>
              <w:t>13.33</w:t>
            </w:r>
            <w:r>
              <w:rPr>
                <w:rFonts w:hint="eastAsia" w:ascii="仿宋_GB2312" w:hAnsi="仿宋_GB2312" w:eastAsia="仿宋_GB2312" w:cs="仿宋_GB2312"/>
                <w:spacing w:val="0"/>
                <w:kern w:val="21"/>
                <w:sz w:val="24"/>
                <w:szCs w:val="24"/>
                <w:highlight w:val="none"/>
                <w:lang w:eastAsia="zh-CN"/>
              </w:rPr>
              <w:t>%；税收</w:t>
            </w:r>
            <w:r>
              <w:rPr>
                <w:rFonts w:hint="eastAsia" w:ascii="仿宋_GB2312" w:hAnsi="仿宋_GB2312" w:eastAsia="仿宋_GB2312" w:cs="仿宋_GB2312"/>
                <w:spacing w:val="0"/>
                <w:kern w:val="21"/>
                <w:sz w:val="24"/>
                <w:szCs w:val="24"/>
                <w:highlight w:val="none"/>
                <w:lang w:val="en-US" w:eastAsia="zh-CN"/>
              </w:rPr>
              <w:t>1.23亿元，</w:t>
            </w:r>
            <w:r>
              <w:rPr>
                <w:rFonts w:hint="eastAsia" w:ascii="仿宋_GB2312" w:hAnsi="仿宋_GB2312" w:eastAsia="仿宋_GB2312" w:cs="仿宋_GB2312"/>
                <w:spacing w:val="0"/>
                <w:kern w:val="21"/>
                <w:sz w:val="24"/>
                <w:szCs w:val="24"/>
                <w:highlight w:val="none"/>
                <w:lang w:eastAsia="zh-CN"/>
              </w:rPr>
              <w:t>占比为</w:t>
            </w:r>
            <w:r>
              <w:rPr>
                <w:rFonts w:hint="eastAsia" w:ascii="仿宋_GB2312" w:hAnsi="仿宋_GB2312" w:eastAsia="仿宋_GB2312" w:cs="仿宋_GB2312"/>
                <w:spacing w:val="0"/>
                <w:kern w:val="21"/>
                <w:sz w:val="24"/>
                <w:szCs w:val="24"/>
                <w:highlight w:val="none"/>
                <w:lang w:val="en-US" w:eastAsia="zh-CN"/>
              </w:rPr>
              <w:t>6.3%；</w:t>
            </w:r>
            <w:r>
              <w:rPr>
                <w:rFonts w:hint="eastAsia" w:ascii="仿宋_GB2312" w:hAnsi="仿宋_GB2312" w:eastAsia="仿宋_GB2312" w:cs="仿宋_GB2312"/>
                <w:spacing w:val="0"/>
                <w:kern w:val="21"/>
                <w:sz w:val="24"/>
                <w:szCs w:val="24"/>
                <w:highlight w:val="none"/>
                <w:lang w:eastAsia="zh-CN"/>
              </w:rPr>
              <w:t>出口</w:t>
            </w:r>
            <w:r>
              <w:rPr>
                <w:rFonts w:hint="eastAsia" w:ascii="仿宋_GB2312" w:hAnsi="仿宋_GB2312" w:eastAsia="仿宋_GB2312" w:cs="仿宋_GB2312"/>
                <w:spacing w:val="0"/>
                <w:kern w:val="21"/>
                <w:sz w:val="24"/>
                <w:szCs w:val="24"/>
                <w:highlight w:val="none"/>
                <w:lang w:val="en-US" w:eastAsia="zh-CN"/>
              </w:rPr>
              <w:t>5553</w:t>
            </w:r>
            <w:r>
              <w:rPr>
                <w:rFonts w:hint="eastAsia" w:ascii="仿宋_GB2312" w:hAnsi="仿宋_GB2312" w:eastAsia="仿宋_GB2312" w:cs="仿宋_GB2312"/>
                <w:spacing w:val="0"/>
                <w:kern w:val="21"/>
                <w:sz w:val="24"/>
                <w:szCs w:val="24"/>
                <w:highlight w:val="none"/>
                <w:lang w:eastAsia="zh-CN"/>
              </w:rPr>
              <w:t>万元、占比为</w:t>
            </w:r>
            <w:r>
              <w:rPr>
                <w:rFonts w:hint="eastAsia" w:ascii="仿宋_GB2312" w:hAnsi="仿宋_GB2312" w:eastAsia="仿宋_GB2312" w:cs="仿宋_GB2312"/>
                <w:spacing w:val="0"/>
                <w:kern w:val="21"/>
                <w:sz w:val="24"/>
                <w:szCs w:val="24"/>
                <w:highlight w:val="none"/>
                <w:lang w:val="en-US" w:eastAsia="zh-CN"/>
              </w:rPr>
              <w:t>2.89</w:t>
            </w:r>
            <w:r>
              <w:rPr>
                <w:rFonts w:hint="eastAsia" w:ascii="仿宋_GB2312" w:hAnsi="仿宋_GB2312" w:eastAsia="仿宋_GB2312" w:cs="仿宋_GB2312"/>
                <w:spacing w:val="0"/>
                <w:kern w:val="21"/>
                <w:sz w:val="24"/>
                <w:szCs w:val="24"/>
                <w:highlight w:val="none"/>
                <w:lang w:eastAsia="zh-CN"/>
              </w:rPr>
              <w:t>%。</w:t>
            </w:r>
          </w:p>
          <w:p w14:paraId="2285F4EF">
            <w:pPr>
              <w:keepNext w:val="0"/>
              <w:keepLines w:val="0"/>
              <w:pageBreakBefore w:val="0"/>
              <w:widowControl/>
              <w:suppressLineNumbers w:val="0"/>
              <w:kinsoku/>
              <w:wordWrap/>
              <w:overflowPunct/>
              <w:topLinePunct w:val="0"/>
              <w:autoSpaceDE/>
              <w:autoSpaceDN/>
              <w:bidi w:val="0"/>
              <w:adjustRightInd w:val="0"/>
              <w:snapToGrid w:val="0"/>
              <w:spacing w:line="300" w:lineRule="exact"/>
              <w:jc w:val="left"/>
              <w:textAlignment w:val="center"/>
              <w:rPr>
                <w:rFonts w:hint="default" w:ascii="仿宋_GB2312" w:hAnsi="仿宋_GB2312" w:eastAsia="仿宋_GB2312" w:cs="仿宋_GB2312"/>
                <w:spacing w:val="0"/>
                <w:kern w:val="21"/>
                <w:sz w:val="24"/>
                <w:szCs w:val="24"/>
                <w:highlight w:val="none"/>
                <w:lang w:val="en-US" w:eastAsia="zh-CN"/>
              </w:rPr>
            </w:pPr>
          </w:p>
        </w:tc>
        <w:tc>
          <w:tcPr>
            <w:tcW w:w="5841" w:type="dxa"/>
            <w:noWrap w:val="0"/>
            <w:vAlign w:val="center"/>
          </w:tcPr>
          <w:p w14:paraId="7BCF79F7">
            <w:pPr>
              <w:keepNext w:val="0"/>
              <w:keepLines w:val="0"/>
              <w:pageBreakBefore w:val="0"/>
              <w:widowControl w:val="0"/>
              <w:kinsoku/>
              <w:wordWrap/>
              <w:overflowPunct/>
              <w:topLinePunct w:val="0"/>
              <w:autoSpaceDE/>
              <w:autoSpaceDN/>
              <w:bidi w:val="0"/>
              <w:adjustRightInd w:val="0"/>
              <w:snapToGrid w:val="0"/>
              <w:spacing w:line="320" w:lineRule="exact"/>
              <w:textAlignment w:val="auto"/>
              <w:rPr>
                <w:rFonts w:hint="eastAsia" w:ascii="仿宋_GB2312" w:hAnsi="仿宋_GB2312" w:eastAsia="仿宋_GB2312" w:cs="仿宋_GB2312"/>
                <w:spacing w:val="0"/>
                <w:kern w:val="21"/>
                <w:sz w:val="24"/>
                <w:szCs w:val="24"/>
                <w:highlight w:val="none"/>
                <w:lang w:val="en-US" w:eastAsia="zh-CN"/>
              </w:rPr>
            </w:pPr>
            <w:r>
              <w:rPr>
                <w:rFonts w:hint="eastAsia" w:ascii="仿宋_GB2312" w:hAnsi="仿宋_GB2312" w:eastAsia="仿宋_GB2312" w:cs="仿宋_GB2312"/>
                <w:b/>
                <w:bCs/>
                <w:spacing w:val="0"/>
                <w:kern w:val="21"/>
                <w:sz w:val="24"/>
                <w:szCs w:val="24"/>
                <w:highlight w:val="none"/>
                <w:lang w:eastAsia="zh-CN"/>
              </w:rPr>
              <w:t>正大食品（</w:t>
            </w:r>
            <w:r>
              <w:rPr>
                <w:rFonts w:hint="eastAsia" w:ascii="仿宋_GB2312" w:hAnsi="仿宋_GB2312" w:eastAsia="仿宋_GB2312" w:cs="仿宋_GB2312"/>
                <w:b/>
                <w:bCs/>
                <w:spacing w:val="0"/>
                <w:kern w:val="21"/>
                <w:sz w:val="24"/>
                <w:szCs w:val="24"/>
                <w:highlight w:val="none"/>
                <w:lang w:val="en-US" w:eastAsia="zh-CN"/>
              </w:rPr>
              <w:t>襄阳</w:t>
            </w:r>
            <w:r>
              <w:rPr>
                <w:rFonts w:hint="eastAsia" w:ascii="仿宋_GB2312" w:hAnsi="仿宋_GB2312" w:eastAsia="仿宋_GB2312" w:cs="仿宋_GB2312"/>
                <w:b/>
                <w:bCs/>
                <w:spacing w:val="0"/>
                <w:kern w:val="21"/>
                <w:sz w:val="24"/>
                <w:szCs w:val="24"/>
                <w:highlight w:val="none"/>
                <w:lang w:eastAsia="zh-CN"/>
              </w:rPr>
              <w:t>）有限公司：</w:t>
            </w:r>
            <w:r>
              <w:rPr>
                <w:rFonts w:hint="eastAsia" w:ascii="仿宋_GB2312" w:hAnsi="仿宋_GB2312" w:eastAsia="仿宋_GB2312" w:cs="仿宋_GB2312"/>
                <w:spacing w:val="0"/>
                <w:kern w:val="21"/>
                <w:sz w:val="24"/>
                <w:szCs w:val="24"/>
                <w:highlight w:val="none"/>
                <w:lang w:eastAsia="zh-CN"/>
              </w:rPr>
              <w:t>农业产业化国家重点龙头企业、国生猪屠宰标准化示范厂、湖北省农业产业化重点龙头企业、大湾区“菜篮子”工程加工企业、大湾区“菜篮子”工程生产基地、湖北省生猪定点屠宰企业、湖北省智能制造示范企业、湖北省两化融合示范企业、湖北省猪肉供港企业。引进并通过ISO9001质量管理体系、ISO22000食品安全管理体系、HACCP、ISO14001环境管理体系。主要生产</w:t>
            </w:r>
            <w:r>
              <w:rPr>
                <w:rFonts w:hint="eastAsia" w:ascii="仿宋_GB2312" w:hAnsi="仿宋_GB2312" w:eastAsia="仿宋_GB2312" w:cs="仿宋_GB2312"/>
                <w:spacing w:val="0"/>
                <w:kern w:val="21"/>
                <w:sz w:val="24"/>
                <w:szCs w:val="24"/>
                <w:highlight w:val="none"/>
                <w:lang w:val="en-US" w:eastAsia="zh-CN"/>
              </w:rPr>
              <w:t>生猪肉、蒸饺、卤肉等产品。</w:t>
            </w:r>
            <w:r>
              <w:rPr>
                <w:rFonts w:hint="eastAsia" w:ascii="仿宋_GB2312" w:hAnsi="仿宋_GB2312" w:eastAsia="仿宋_GB2312" w:cs="仿宋_GB2312"/>
                <w:spacing w:val="0"/>
                <w:kern w:val="21"/>
                <w:sz w:val="24"/>
                <w:szCs w:val="24"/>
                <w:highlight w:val="none"/>
                <w:lang w:eastAsia="zh-CN"/>
              </w:rPr>
              <w:t>202</w:t>
            </w:r>
            <w:r>
              <w:rPr>
                <w:rFonts w:hint="eastAsia" w:ascii="仿宋_GB2312" w:hAnsi="仿宋_GB2312" w:eastAsia="仿宋_GB2312" w:cs="仿宋_GB2312"/>
                <w:spacing w:val="0"/>
                <w:kern w:val="21"/>
                <w:sz w:val="24"/>
                <w:szCs w:val="24"/>
                <w:highlight w:val="none"/>
                <w:lang w:val="en-US" w:eastAsia="zh-CN"/>
              </w:rPr>
              <w:t>4</w:t>
            </w:r>
            <w:r>
              <w:rPr>
                <w:rFonts w:hint="eastAsia" w:ascii="仿宋_GB2312" w:hAnsi="仿宋_GB2312" w:eastAsia="仿宋_GB2312" w:cs="仿宋_GB2312"/>
                <w:spacing w:val="0"/>
                <w:kern w:val="21"/>
                <w:sz w:val="24"/>
                <w:szCs w:val="24"/>
                <w:highlight w:val="none"/>
                <w:lang w:eastAsia="zh-CN"/>
              </w:rPr>
              <w:t>年营业收入</w:t>
            </w:r>
            <w:r>
              <w:rPr>
                <w:rFonts w:hint="eastAsia" w:ascii="仿宋_GB2312" w:hAnsi="仿宋_GB2312" w:eastAsia="仿宋_GB2312" w:cs="仿宋_GB2312"/>
                <w:spacing w:val="0"/>
                <w:kern w:val="21"/>
                <w:sz w:val="24"/>
                <w:szCs w:val="24"/>
                <w:highlight w:val="none"/>
                <w:lang w:val="en-US" w:eastAsia="zh-CN"/>
              </w:rPr>
              <w:t>16.54亿</w:t>
            </w:r>
            <w:r>
              <w:rPr>
                <w:rFonts w:hint="eastAsia" w:ascii="仿宋_GB2312" w:hAnsi="仿宋_GB2312" w:eastAsia="仿宋_GB2312" w:cs="仿宋_GB2312"/>
                <w:spacing w:val="0"/>
                <w:kern w:val="21"/>
                <w:sz w:val="24"/>
                <w:szCs w:val="24"/>
                <w:highlight w:val="none"/>
                <w:lang w:eastAsia="zh-CN"/>
              </w:rPr>
              <w:t>元，上交税金</w:t>
            </w:r>
            <w:r>
              <w:rPr>
                <w:rFonts w:hint="eastAsia" w:ascii="仿宋_GB2312" w:hAnsi="仿宋_GB2312" w:eastAsia="仿宋_GB2312" w:cs="仿宋_GB2312"/>
                <w:spacing w:val="0"/>
                <w:kern w:val="21"/>
                <w:sz w:val="24"/>
                <w:szCs w:val="24"/>
                <w:highlight w:val="none"/>
                <w:lang w:val="en-US" w:eastAsia="zh-CN"/>
              </w:rPr>
              <w:t>879.4万元。</w:t>
            </w:r>
          </w:p>
          <w:p w14:paraId="0737A306">
            <w:pPr>
              <w:bidi w:val="0"/>
              <w:rPr>
                <w:rFonts w:hint="eastAsia" w:ascii="仿宋_GB2312" w:hAnsi="仿宋_GB2312" w:eastAsia="仿宋_GB2312" w:cs="仿宋_GB2312"/>
                <w:spacing w:val="0"/>
                <w:kern w:val="21"/>
                <w:sz w:val="24"/>
                <w:szCs w:val="24"/>
                <w:highlight w:val="none"/>
                <w:lang w:val="en-US" w:eastAsia="zh-CN"/>
              </w:rPr>
            </w:pPr>
            <w:r>
              <w:rPr>
                <w:rFonts w:hint="eastAsia" w:ascii="仿宋_GB2312" w:hAnsi="仿宋_GB2312" w:eastAsia="仿宋_GB2312" w:cs="仿宋_GB2312"/>
                <w:b/>
                <w:bCs/>
                <w:spacing w:val="0"/>
                <w:kern w:val="21"/>
                <w:sz w:val="24"/>
                <w:szCs w:val="24"/>
                <w:highlight w:val="none"/>
                <w:lang w:eastAsia="zh-CN"/>
              </w:rPr>
              <w:t>襄阳鲁花浓香花生油有限公司：</w:t>
            </w:r>
            <w:r>
              <w:rPr>
                <w:rFonts w:hint="default" w:ascii="仿宋_GB2312" w:hAnsi="仿宋_GB2312" w:eastAsia="仿宋_GB2312" w:cs="仿宋_GB2312"/>
                <w:spacing w:val="0"/>
                <w:kern w:val="21"/>
                <w:sz w:val="24"/>
                <w:szCs w:val="24"/>
                <w:highlight w:val="none"/>
                <w:lang w:eastAsia="zh-CN"/>
              </w:rPr>
              <w:t>农业产业化国家重点龙</w:t>
            </w:r>
            <w:r>
              <w:rPr>
                <w:rFonts w:hint="default" w:ascii="仿宋_GB2312" w:hAnsi="仿宋_GB2312" w:eastAsia="仿宋_GB2312" w:cs="仿宋_GB2312"/>
                <w:spacing w:val="0"/>
                <w:kern w:val="21"/>
                <w:sz w:val="24"/>
                <w:szCs w:val="24"/>
                <w:highlight w:val="none"/>
                <w:lang w:val="en-US" w:eastAsia="zh-CN"/>
              </w:rPr>
              <w:t>头企业</w:t>
            </w:r>
            <w:r>
              <w:rPr>
                <w:rFonts w:hint="eastAsia" w:ascii="仿宋_GB2312" w:hAnsi="仿宋_GB2312" w:eastAsia="仿宋_GB2312" w:cs="仿宋_GB2312"/>
                <w:spacing w:val="0"/>
                <w:kern w:val="21"/>
                <w:sz w:val="24"/>
                <w:szCs w:val="24"/>
                <w:highlight w:val="none"/>
                <w:lang w:val="en-US" w:eastAsia="zh-CN"/>
              </w:rPr>
              <w:t>、湖北省农业产业化龙头企业30强、湖北省民营企业制造业100强、湖北省就业创业先进集体、湖北省创先争优先进基层党组织</w:t>
            </w:r>
            <w:r>
              <w:rPr>
                <w:rFonts w:hint="default" w:ascii="仿宋_GB2312" w:hAnsi="仿宋_GB2312" w:eastAsia="仿宋_GB2312" w:cs="仿宋_GB2312"/>
                <w:spacing w:val="0"/>
                <w:kern w:val="21"/>
                <w:sz w:val="24"/>
                <w:szCs w:val="24"/>
                <w:highlight w:val="none"/>
                <w:lang w:val="en-US" w:eastAsia="zh-CN"/>
              </w:rPr>
              <w:t>。</w:t>
            </w:r>
            <w:r>
              <w:rPr>
                <w:rFonts w:hint="eastAsia" w:ascii="仿宋_GB2312" w:hAnsi="仿宋_GB2312" w:eastAsia="仿宋_GB2312" w:cs="仿宋_GB2312"/>
                <w:spacing w:val="0"/>
                <w:kern w:val="21"/>
                <w:sz w:val="24"/>
                <w:szCs w:val="24"/>
                <w:highlight w:val="none"/>
                <w:lang w:val="en-US" w:eastAsia="zh-CN"/>
              </w:rPr>
              <w:t>主要生产</w:t>
            </w:r>
            <w:r>
              <w:rPr>
                <w:rFonts w:hint="default" w:ascii="仿宋_GB2312" w:hAnsi="仿宋_GB2312" w:eastAsia="仿宋_GB2312" w:cs="仿宋_GB2312"/>
                <w:spacing w:val="0"/>
                <w:kern w:val="21"/>
                <w:sz w:val="24"/>
                <w:szCs w:val="24"/>
                <w:highlight w:val="none"/>
                <w:lang w:val="en-US" w:eastAsia="zh-CN"/>
              </w:rPr>
              <w:t>花生油、菜籽油。</w:t>
            </w:r>
            <w:r>
              <w:rPr>
                <w:rFonts w:hint="eastAsia" w:ascii="仿宋_GB2312" w:hAnsi="仿宋_GB2312" w:eastAsia="仿宋_GB2312" w:cs="仿宋_GB2312"/>
                <w:spacing w:val="0"/>
                <w:kern w:val="21"/>
                <w:sz w:val="24"/>
                <w:szCs w:val="24"/>
                <w:highlight w:val="none"/>
                <w:lang w:val="en-US" w:eastAsia="zh-CN"/>
              </w:rPr>
              <w:t>2024年营业收入11.07亿元，上交税金2482.27万元。</w:t>
            </w:r>
          </w:p>
          <w:p w14:paraId="14973E55">
            <w:pPr>
              <w:bidi w:val="0"/>
              <w:rPr>
                <w:rFonts w:hint="eastAsia" w:ascii="仿宋_GB2312" w:hAnsi="仿宋_GB2312" w:eastAsia="仿宋_GB2312" w:cs="仿宋_GB2312"/>
                <w:spacing w:val="0"/>
                <w:kern w:val="21"/>
                <w:sz w:val="24"/>
                <w:szCs w:val="24"/>
                <w:highlight w:val="none"/>
                <w:lang w:val="en-US" w:eastAsia="zh-CN"/>
              </w:rPr>
            </w:pPr>
            <w:r>
              <w:rPr>
                <w:rFonts w:hint="eastAsia" w:ascii="仿宋_GB2312" w:hAnsi="仿宋_GB2312" w:eastAsia="仿宋_GB2312" w:cs="仿宋_GB2312"/>
                <w:b/>
                <w:bCs/>
                <w:spacing w:val="0"/>
                <w:kern w:val="21"/>
                <w:sz w:val="24"/>
                <w:szCs w:val="24"/>
                <w:highlight w:val="none"/>
                <w:lang w:val="en-US" w:eastAsia="zh-CN"/>
              </w:rPr>
              <w:t>襄阳丰庆源面业股份有限公司：</w:t>
            </w:r>
            <w:r>
              <w:rPr>
                <w:rFonts w:hint="eastAsia" w:ascii="仿宋_GB2312" w:hAnsi="仿宋_GB2312" w:eastAsia="仿宋_GB2312" w:cs="仿宋_GB2312"/>
                <w:spacing w:val="0"/>
                <w:kern w:val="21"/>
                <w:sz w:val="24"/>
                <w:szCs w:val="24"/>
                <w:highlight w:val="none"/>
                <w:lang w:val="en-US" w:eastAsia="zh-CN"/>
              </w:rPr>
              <w:t>先后获得“中国好粮油”、“湖北名牌产品”、“绿色食品”、“荆楚好粮油”、“放心粮油”、“优质农产品”、“特色农产品”等荣誉称号。主要面粉、挂面等产品。持有注册商标12项、专利44项，并获评“湖北省科技型中小企业”等多项资质认定，获得环境管理体系认证。2024年营业收入1.06亿元，上交税金28.14万元。</w:t>
            </w:r>
          </w:p>
        </w:tc>
      </w:tr>
      <w:tr w14:paraId="7530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11" w:hRule="exact"/>
        </w:trPr>
        <w:tc>
          <w:tcPr>
            <w:tcW w:w="1217" w:type="dxa"/>
            <w:noWrap w:val="0"/>
            <w:vAlign w:val="center"/>
          </w:tcPr>
          <w:p w14:paraId="3ADCB06F">
            <w:pPr>
              <w:keepNext w:val="0"/>
              <w:keepLines w:val="0"/>
              <w:pageBreakBefore w:val="0"/>
              <w:kinsoku/>
              <w:wordWrap/>
              <w:overflowPunct/>
              <w:topLinePunct w:val="0"/>
              <w:autoSpaceDE/>
              <w:autoSpaceDN/>
              <w:bidi w:val="0"/>
              <w:adjustRightInd w:val="0"/>
              <w:snapToGrid w:val="0"/>
              <w:spacing w:line="300" w:lineRule="exact"/>
              <w:jc w:val="center"/>
              <w:rPr>
                <w:rFonts w:hint="eastAsia" w:ascii="仿宋_GB2312" w:hAnsi="仿宋_GB2312" w:eastAsia="仿宋_GB2312" w:cs="仿宋_GB2312"/>
                <w:spacing w:val="0"/>
                <w:kern w:val="21"/>
                <w:sz w:val="24"/>
                <w:szCs w:val="24"/>
                <w:highlight w:val="none"/>
                <w:lang w:eastAsia="zh-CN"/>
              </w:rPr>
            </w:pPr>
            <w:r>
              <w:rPr>
                <w:rFonts w:hint="eastAsia" w:ascii="仿宋_GB2312" w:hAnsi="仿宋_GB2312" w:eastAsia="仿宋_GB2312" w:cs="仿宋_GB2312"/>
                <w:spacing w:val="0"/>
                <w:kern w:val="21"/>
                <w:sz w:val="24"/>
                <w:szCs w:val="24"/>
                <w:highlight w:val="none"/>
                <w:lang w:val="en-US" w:eastAsia="zh-CN"/>
              </w:rPr>
              <w:t>2</w:t>
            </w:r>
          </w:p>
        </w:tc>
        <w:tc>
          <w:tcPr>
            <w:tcW w:w="1273" w:type="dxa"/>
            <w:noWrap w:val="0"/>
            <w:vAlign w:val="center"/>
          </w:tcPr>
          <w:p w14:paraId="76DB6D59">
            <w:pPr>
              <w:keepNext w:val="0"/>
              <w:keepLines w:val="0"/>
              <w:pageBreakBefore w:val="0"/>
              <w:widowControl/>
              <w:suppressLineNumbers w:val="0"/>
              <w:kinsoku/>
              <w:wordWrap/>
              <w:overflowPunct/>
              <w:topLinePunct w:val="0"/>
              <w:autoSpaceDE/>
              <w:autoSpaceDN/>
              <w:bidi w:val="0"/>
              <w:adjustRightInd w:val="0"/>
              <w:snapToGrid w:val="0"/>
              <w:spacing w:line="300" w:lineRule="exact"/>
              <w:jc w:val="center"/>
              <w:textAlignment w:val="center"/>
              <w:rPr>
                <w:rFonts w:hint="eastAsia"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i w:val="0"/>
                <w:color w:val="000000"/>
                <w:spacing w:val="0"/>
                <w:kern w:val="21"/>
                <w:sz w:val="24"/>
                <w:szCs w:val="24"/>
                <w:highlight w:val="none"/>
                <w:u w:val="none"/>
                <w:lang w:val="en-US" w:eastAsia="zh-CN" w:bidi="ar"/>
              </w:rPr>
              <w:t>装备制造产业</w:t>
            </w:r>
          </w:p>
        </w:tc>
        <w:tc>
          <w:tcPr>
            <w:tcW w:w="1311" w:type="dxa"/>
            <w:noWrap w:val="0"/>
            <w:vAlign w:val="center"/>
          </w:tcPr>
          <w:p w14:paraId="716ADACE">
            <w:pPr>
              <w:keepNext w:val="0"/>
              <w:keepLines w:val="0"/>
              <w:pageBreakBefore w:val="0"/>
              <w:widowControl/>
              <w:suppressLineNumbers w:val="0"/>
              <w:kinsoku/>
              <w:wordWrap/>
              <w:overflowPunct/>
              <w:topLinePunct w:val="0"/>
              <w:autoSpaceDE/>
              <w:autoSpaceDN/>
              <w:bidi w:val="0"/>
              <w:adjustRightInd w:val="0"/>
              <w:snapToGrid w:val="0"/>
              <w:spacing w:line="300" w:lineRule="exact"/>
              <w:jc w:val="center"/>
              <w:textAlignment w:val="center"/>
              <w:rPr>
                <w:rFonts w:hint="default"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i w:val="0"/>
                <w:color w:val="000000"/>
                <w:spacing w:val="0"/>
                <w:kern w:val="21"/>
                <w:sz w:val="24"/>
                <w:szCs w:val="24"/>
                <w:highlight w:val="none"/>
                <w:u w:val="none"/>
                <w:lang w:val="en-US" w:eastAsia="zh-CN" w:bidi="ar"/>
              </w:rPr>
              <w:t>276.54</w:t>
            </w:r>
          </w:p>
        </w:tc>
        <w:tc>
          <w:tcPr>
            <w:tcW w:w="1074" w:type="dxa"/>
            <w:noWrap w:val="0"/>
            <w:vAlign w:val="center"/>
          </w:tcPr>
          <w:p w14:paraId="7AC87F1B">
            <w:pPr>
              <w:keepNext w:val="0"/>
              <w:keepLines w:val="0"/>
              <w:pageBreakBefore w:val="0"/>
              <w:widowControl/>
              <w:suppressLineNumbers w:val="0"/>
              <w:kinsoku/>
              <w:wordWrap/>
              <w:overflowPunct/>
              <w:topLinePunct w:val="0"/>
              <w:autoSpaceDE/>
              <w:autoSpaceDN/>
              <w:bidi w:val="0"/>
              <w:adjustRightInd w:val="0"/>
              <w:snapToGrid w:val="0"/>
              <w:spacing w:line="300" w:lineRule="exact"/>
              <w:jc w:val="center"/>
              <w:textAlignment w:val="center"/>
              <w:rPr>
                <w:rFonts w:hint="default"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i w:val="0"/>
                <w:color w:val="000000"/>
                <w:spacing w:val="0"/>
                <w:kern w:val="21"/>
                <w:sz w:val="24"/>
                <w:szCs w:val="24"/>
                <w:highlight w:val="none"/>
                <w:u w:val="none"/>
                <w:lang w:val="en-US" w:eastAsia="zh-CN" w:bidi="ar"/>
              </w:rPr>
              <w:t>5.65</w:t>
            </w:r>
          </w:p>
        </w:tc>
        <w:tc>
          <w:tcPr>
            <w:tcW w:w="1020" w:type="dxa"/>
            <w:noWrap w:val="0"/>
            <w:vAlign w:val="center"/>
          </w:tcPr>
          <w:p w14:paraId="50E3C1BD">
            <w:pPr>
              <w:keepNext w:val="0"/>
              <w:keepLines w:val="0"/>
              <w:pageBreakBefore w:val="0"/>
              <w:widowControl/>
              <w:suppressLineNumbers w:val="0"/>
              <w:kinsoku/>
              <w:wordWrap/>
              <w:overflowPunct/>
              <w:topLinePunct w:val="0"/>
              <w:autoSpaceDE/>
              <w:autoSpaceDN/>
              <w:bidi w:val="0"/>
              <w:adjustRightInd w:val="0"/>
              <w:snapToGrid w:val="0"/>
              <w:spacing w:line="300" w:lineRule="exact"/>
              <w:jc w:val="center"/>
              <w:textAlignment w:val="center"/>
              <w:rPr>
                <w:rFonts w:hint="default"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sz w:val="24"/>
                <w:szCs w:val="24"/>
                <w:lang w:val="en-US" w:eastAsia="zh-CN"/>
              </w:rPr>
              <w:t>58</w:t>
            </w:r>
          </w:p>
        </w:tc>
        <w:tc>
          <w:tcPr>
            <w:tcW w:w="2955" w:type="dxa"/>
            <w:noWrap w:val="0"/>
            <w:vAlign w:val="center"/>
          </w:tcPr>
          <w:p w14:paraId="3EDEC482">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spacing w:val="0"/>
                <w:kern w:val="21"/>
                <w:sz w:val="21"/>
                <w:szCs w:val="21"/>
                <w:highlight w:val="none"/>
                <w:lang w:val="en-US" w:eastAsia="zh-CN"/>
              </w:rPr>
            </w:pPr>
            <w:r>
              <w:rPr>
                <w:rFonts w:hint="eastAsia" w:ascii="仿宋_GB2312" w:hAnsi="仿宋_GB2312" w:eastAsia="仿宋_GB2312" w:cs="仿宋_GB2312"/>
                <w:spacing w:val="0"/>
                <w:kern w:val="21"/>
                <w:sz w:val="21"/>
                <w:szCs w:val="21"/>
                <w:highlight w:val="none"/>
                <w:lang w:val="en-US" w:eastAsia="zh-CN"/>
              </w:rPr>
              <w:t>聚集规以上企业58家，其中高新技术企业24家。主要产品包括机床、治金机械制造，汽车零部件及整车制造等。2024年，营业收入276.54亿元、增长11.89%，营业收入本区占比为42.04%；税收5.65亿元，占比为28.96%；出口9616万元、占比为5.01%。</w:t>
            </w:r>
          </w:p>
          <w:p w14:paraId="06AF9A15">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center"/>
              <w:rPr>
                <w:rFonts w:hint="eastAsia" w:ascii="仿宋_GB2312" w:hAnsi="仿宋_GB2312" w:eastAsia="仿宋_GB2312" w:cs="仿宋_GB2312"/>
                <w:spacing w:val="0"/>
                <w:kern w:val="21"/>
                <w:sz w:val="24"/>
                <w:szCs w:val="24"/>
                <w:highlight w:val="none"/>
              </w:rPr>
            </w:pPr>
          </w:p>
        </w:tc>
        <w:tc>
          <w:tcPr>
            <w:tcW w:w="5841" w:type="dxa"/>
            <w:noWrap w:val="0"/>
            <w:vAlign w:val="center"/>
          </w:tcPr>
          <w:p w14:paraId="729437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仿宋_GB2312" w:hAnsi="仿宋_GB2312" w:eastAsia="仿宋_GB2312" w:cs="仿宋_GB2312"/>
                <w:spacing w:val="0"/>
                <w:kern w:val="21"/>
                <w:sz w:val="24"/>
                <w:szCs w:val="24"/>
                <w:highlight w:val="none"/>
                <w:lang w:val="en-US" w:eastAsia="zh-CN"/>
              </w:rPr>
            </w:pPr>
            <w:r>
              <w:rPr>
                <w:rFonts w:hint="eastAsia" w:ascii="仿宋_GB2312" w:hAnsi="仿宋_GB2312" w:eastAsia="仿宋_GB2312" w:cs="仿宋_GB2312"/>
                <w:b/>
                <w:bCs/>
                <w:spacing w:val="0"/>
                <w:kern w:val="21"/>
                <w:sz w:val="24"/>
                <w:szCs w:val="24"/>
                <w:highlight w:val="none"/>
                <w:lang w:val="en-US" w:eastAsia="zh-CN"/>
              </w:rPr>
              <w:t>襄阳长源东谷实业股份有限公司：</w:t>
            </w:r>
            <w:r>
              <w:rPr>
                <w:rFonts w:hint="eastAsia" w:ascii="仿宋_GB2312" w:hAnsi="仿宋_GB2312" w:eastAsia="仿宋_GB2312" w:cs="仿宋_GB2312"/>
                <w:spacing w:val="0"/>
                <w:kern w:val="21"/>
                <w:sz w:val="24"/>
                <w:szCs w:val="24"/>
                <w:highlight w:val="none"/>
                <w:lang w:val="en-US" w:eastAsia="zh-CN"/>
              </w:rPr>
              <w:t>上市公司，通过AITF16949国际汽车工业质量体系认证及ISO14001环境管理认证，行业内的“小巨人”和“单项隐形冠军”，比亚迪优秀供应商，取得了大型发动机整机生产厂商及汽车整车生产厂商的合格供应商认证。主要生产柴油、汽油、天然气发动机缸体、缸盖、连杆等，制造业单项冠军企业，</w:t>
            </w:r>
            <w:r>
              <w:rPr>
                <w:rFonts w:hint="default" w:ascii="仿宋_GB2312" w:hAnsi="仿宋_GB2312" w:eastAsia="仿宋_GB2312" w:cs="仿宋_GB2312"/>
                <w:spacing w:val="0"/>
                <w:kern w:val="21"/>
                <w:sz w:val="24"/>
                <w:szCs w:val="24"/>
                <w:highlight w:val="none"/>
                <w:lang w:val="en-US" w:eastAsia="zh-CN"/>
              </w:rPr>
              <w:t>高新技术企业</w:t>
            </w:r>
            <w:r>
              <w:rPr>
                <w:rFonts w:hint="eastAsia" w:ascii="仿宋_GB2312" w:hAnsi="仿宋_GB2312" w:eastAsia="仿宋_GB2312" w:cs="仿宋_GB2312"/>
                <w:spacing w:val="0"/>
                <w:kern w:val="21"/>
                <w:sz w:val="24"/>
                <w:szCs w:val="24"/>
                <w:highlight w:val="none"/>
                <w:lang w:val="en-US" w:eastAsia="zh-CN"/>
              </w:rPr>
              <w:t>。2024年营业收入17.38亿元，上交税金2810.01万元。</w:t>
            </w:r>
          </w:p>
          <w:p w14:paraId="20309F7A">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spacing w:val="0"/>
                <w:kern w:val="21"/>
                <w:sz w:val="24"/>
                <w:szCs w:val="24"/>
                <w:highlight w:val="none"/>
                <w:lang w:val="en-US" w:eastAsia="zh-CN"/>
              </w:rPr>
            </w:pPr>
            <w:r>
              <w:rPr>
                <w:rFonts w:hint="eastAsia" w:ascii="仿宋_GB2312" w:hAnsi="仿宋_GB2312" w:eastAsia="仿宋_GB2312" w:cs="仿宋_GB2312"/>
                <w:b/>
                <w:bCs/>
                <w:spacing w:val="0"/>
                <w:kern w:val="21"/>
                <w:sz w:val="24"/>
                <w:szCs w:val="24"/>
                <w:highlight w:val="none"/>
                <w:lang w:val="en-US" w:eastAsia="zh-CN"/>
              </w:rPr>
              <w:t>襄阳国铁机电股份有限公司：</w:t>
            </w:r>
            <w:r>
              <w:rPr>
                <w:rFonts w:hint="eastAsia" w:ascii="仿宋_GB2312" w:hAnsi="仿宋_GB2312" w:eastAsia="仿宋_GB2312" w:cs="仿宋_GB2312"/>
                <w:spacing w:val="0"/>
                <w:kern w:val="21"/>
                <w:sz w:val="24"/>
                <w:szCs w:val="24"/>
                <w:highlight w:val="none"/>
                <w:lang w:val="en-US" w:eastAsia="zh-CN"/>
              </w:rPr>
              <w:t>国家高新技术企业、国家级专精特新“小巨人”企业、省级企业技术中心、轨道交通智能养护行业研发中心、，中国城市轨道交通技术中心四家发起单位之一，</w:t>
            </w:r>
            <w:r>
              <w:rPr>
                <w:rFonts w:hint="default" w:ascii="仿宋_GB2312" w:hAnsi="仿宋_GB2312" w:eastAsia="仿宋_GB2312" w:cs="仿宋_GB2312"/>
                <w:spacing w:val="0"/>
                <w:kern w:val="21"/>
                <w:sz w:val="24"/>
                <w:szCs w:val="24"/>
                <w:highlight w:val="none"/>
                <w:lang w:val="en-US" w:eastAsia="zh-CN"/>
              </w:rPr>
              <w:t>交通运输部行业研发中心</w:t>
            </w:r>
            <w:r>
              <w:rPr>
                <w:rFonts w:hint="eastAsia" w:ascii="仿宋_GB2312" w:hAnsi="仿宋_GB2312" w:eastAsia="仿宋_GB2312" w:cs="仿宋_GB2312"/>
                <w:spacing w:val="0"/>
                <w:kern w:val="21"/>
                <w:sz w:val="24"/>
                <w:szCs w:val="24"/>
                <w:highlight w:val="none"/>
                <w:lang w:val="en-US" w:eastAsia="zh-CN"/>
              </w:rPr>
              <w:t>，工信部中德智能制造合作试点示范项目。主要经营轨道交通运营维保行业智能管理系统的搭建及关联工装、设备的研发制造，航空、航天非标试验装备研发制造，拥有专利157</w:t>
            </w:r>
            <w:bookmarkStart w:id="0" w:name="_GoBack"/>
            <w:bookmarkEnd w:id="0"/>
            <w:r>
              <w:rPr>
                <w:rFonts w:hint="eastAsia" w:ascii="仿宋_GB2312" w:hAnsi="仿宋_GB2312" w:eastAsia="仿宋_GB2312" w:cs="仿宋_GB2312"/>
                <w:spacing w:val="0"/>
                <w:kern w:val="21"/>
                <w:sz w:val="24"/>
                <w:szCs w:val="24"/>
                <w:highlight w:val="none"/>
                <w:lang w:val="en-US" w:eastAsia="zh-CN"/>
              </w:rPr>
              <w:t>项。2024年营业收入0.86亿元，上交税金172.41万元。</w:t>
            </w:r>
          </w:p>
          <w:p w14:paraId="7FD1F12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b/>
                <w:bCs/>
                <w:spacing w:val="0"/>
                <w:kern w:val="21"/>
                <w:sz w:val="24"/>
                <w:szCs w:val="24"/>
                <w:highlight w:val="none"/>
                <w:lang w:val="en-US" w:eastAsia="zh-CN"/>
              </w:rPr>
              <w:t>东风井关农业机械有限公司：</w:t>
            </w:r>
            <w:r>
              <w:rPr>
                <w:rFonts w:hint="eastAsia" w:ascii="仿宋_GB2312" w:hAnsi="仿宋_GB2312" w:eastAsia="仿宋_GB2312" w:cs="仿宋_GB2312"/>
                <w:spacing w:val="0"/>
                <w:kern w:val="21"/>
                <w:sz w:val="24"/>
                <w:szCs w:val="24"/>
                <w:highlight w:val="none"/>
                <w:lang w:val="en-US" w:eastAsia="zh-CN"/>
              </w:rPr>
              <w:t>专精特新企业，多次荣获农民日报金口碑奖、中国用户喜爱的农机品牌、用户最心仪的综合农业机械十佳品牌、中国农业机械年度产品技术创新奖、市场领先奖，在国家农业部开展的全国水稻插秧机质量调查中综合评分排名第一主要生产拖拉机、育秧播种机、插秧机、移栽机、植保机、施肥机、收割机、烘干机等24个产品系列。2024年营业收入3.48亿元，上交税金349.42万元。</w:t>
            </w:r>
          </w:p>
          <w:p w14:paraId="25FD6C7A">
            <w:pPr>
              <w:pStyle w:val="7"/>
              <w:ind w:left="0" w:leftChars="0" w:firstLine="0" w:firstLineChars="0"/>
              <w:rPr>
                <w:rFonts w:hint="eastAsia"/>
              </w:rPr>
            </w:pPr>
          </w:p>
        </w:tc>
      </w:tr>
      <w:tr w14:paraId="09A0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2" w:hRule="exact"/>
        </w:trPr>
        <w:tc>
          <w:tcPr>
            <w:tcW w:w="1217" w:type="dxa"/>
            <w:noWrap w:val="0"/>
            <w:vAlign w:val="center"/>
          </w:tcPr>
          <w:p w14:paraId="40E05080">
            <w:pPr>
              <w:keepNext w:val="0"/>
              <w:keepLines w:val="0"/>
              <w:pageBreakBefore w:val="0"/>
              <w:kinsoku/>
              <w:wordWrap/>
              <w:overflowPunct/>
              <w:topLinePunct w:val="0"/>
              <w:autoSpaceDE/>
              <w:autoSpaceDN/>
              <w:bidi w:val="0"/>
              <w:adjustRightInd w:val="0"/>
              <w:snapToGrid w:val="0"/>
              <w:spacing w:line="300" w:lineRule="exact"/>
              <w:jc w:val="center"/>
              <w:rPr>
                <w:rFonts w:hint="eastAsia" w:ascii="仿宋_GB2312" w:hAnsi="仿宋_GB2312" w:eastAsia="仿宋_GB2312" w:cs="仿宋_GB2312"/>
                <w:spacing w:val="0"/>
                <w:kern w:val="21"/>
                <w:sz w:val="24"/>
                <w:szCs w:val="24"/>
                <w:highlight w:val="none"/>
                <w:lang w:eastAsia="zh-CN"/>
              </w:rPr>
            </w:pPr>
            <w:r>
              <w:rPr>
                <w:rFonts w:hint="eastAsia" w:ascii="仿宋_GB2312" w:hAnsi="仿宋_GB2312" w:eastAsia="仿宋_GB2312" w:cs="仿宋_GB2312"/>
                <w:spacing w:val="0"/>
                <w:kern w:val="21"/>
                <w:sz w:val="24"/>
                <w:szCs w:val="24"/>
                <w:highlight w:val="none"/>
                <w:lang w:val="en-US" w:eastAsia="zh-CN"/>
              </w:rPr>
              <w:t>3</w:t>
            </w:r>
          </w:p>
        </w:tc>
        <w:tc>
          <w:tcPr>
            <w:tcW w:w="1273" w:type="dxa"/>
            <w:noWrap w:val="0"/>
            <w:vAlign w:val="center"/>
          </w:tcPr>
          <w:p w14:paraId="289AEFEE">
            <w:pPr>
              <w:keepNext w:val="0"/>
              <w:keepLines w:val="0"/>
              <w:pageBreakBefore w:val="0"/>
              <w:widowControl/>
              <w:suppressLineNumbers w:val="0"/>
              <w:kinsoku/>
              <w:wordWrap/>
              <w:overflowPunct/>
              <w:topLinePunct w:val="0"/>
              <w:autoSpaceDE/>
              <w:autoSpaceDN/>
              <w:bidi w:val="0"/>
              <w:adjustRightInd w:val="0"/>
              <w:snapToGrid w:val="0"/>
              <w:spacing w:line="300" w:lineRule="exact"/>
              <w:jc w:val="center"/>
              <w:textAlignment w:val="center"/>
              <w:rPr>
                <w:rFonts w:hint="eastAsia"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spacing w:val="0"/>
                <w:kern w:val="21"/>
                <w:sz w:val="24"/>
                <w:szCs w:val="24"/>
                <w:highlight w:val="none"/>
                <w:lang w:val="en-US" w:eastAsia="zh-CN"/>
              </w:rPr>
              <w:t>纺织服装产业</w:t>
            </w:r>
          </w:p>
        </w:tc>
        <w:tc>
          <w:tcPr>
            <w:tcW w:w="1311" w:type="dxa"/>
            <w:noWrap w:val="0"/>
            <w:vAlign w:val="center"/>
          </w:tcPr>
          <w:p w14:paraId="667F4A99">
            <w:pPr>
              <w:keepNext w:val="0"/>
              <w:keepLines w:val="0"/>
              <w:pageBreakBefore w:val="0"/>
              <w:widowControl/>
              <w:suppressLineNumbers w:val="0"/>
              <w:kinsoku/>
              <w:wordWrap/>
              <w:overflowPunct/>
              <w:topLinePunct w:val="0"/>
              <w:autoSpaceDE/>
              <w:autoSpaceDN/>
              <w:bidi w:val="0"/>
              <w:adjustRightInd w:val="0"/>
              <w:snapToGrid w:val="0"/>
              <w:spacing w:line="300" w:lineRule="exact"/>
              <w:jc w:val="center"/>
              <w:textAlignment w:val="center"/>
              <w:rPr>
                <w:rFonts w:hint="default"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i w:val="0"/>
                <w:color w:val="000000"/>
                <w:spacing w:val="0"/>
                <w:kern w:val="21"/>
                <w:sz w:val="24"/>
                <w:szCs w:val="24"/>
                <w:highlight w:val="none"/>
                <w:u w:val="none"/>
                <w:lang w:val="en-US" w:eastAsia="zh-CN" w:bidi="ar"/>
              </w:rPr>
              <w:t>28.85</w:t>
            </w:r>
          </w:p>
        </w:tc>
        <w:tc>
          <w:tcPr>
            <w:tcW w:w="1074" w:type="dxa"/>
            <w:noWrap w:val="0"/>
            <w:vAlign w:val="center"/>
          </w:tcPr>
          <w:p w14:paraId="795BE40F">
            <w:pPr>
              <w:keepNext w:val="0"/>
              <w:keepLines w:val="0"/>
              <w:pageBreakBefore w:val="0"/>
              <w:widowControl/>
              <w:suppressLineNumbers w:val="0"/>
              <w:kinsoku/>
              <w:wordWrap/>
              <w:overflowPunct/>
              <w:topLinePunct w:val="0"/>
              <w:autoSpaceDE/>
              <w:autoSpaceDN/>
              <w:bidi w:val="0"/>
              <w:adjustRightInd w:val="0"/>
              <w:snapToGrid w:val="0"/>
              <w:spacing w:line="300" w:lineRule="exact"/>
              <w:jc w:val="center"/>
              <w:textAlignment w:val="center"/>
              <w:rPr>
                <w:rFonts w:hint="default"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i w:val="0"/>
                <w:color w:val="000000"/>
                <w:spacing w:val="0"/>
                <w:kern w:val="21"/>
                <w:sz w:val="24"/>
                <w:szCs w:val="24"/>
                <w:highlight w:val="none"/>
                <w:u w:val="none"/>
                <w:lang w:val="en-US" w:eastAsia="zh-CN" w:bidi="ar"/>
              </w:rPr>
              <w:t>0.16</w:t>
            </w:r>
          </w:p>
        </w:tc>
        <w:tc>
          <w:tcPr>
            <w:tcW w:w="1020" w:type="dxa"/>
            <w:noWrap w:val="0"/>
            <w:vAlign w:val="center"/>
          </w:tcPr>
          <w:p w14:paraId="59A83BBA">
            <w:pPr>
              <w:keepNext w:val="0"/>
              <w:keepLines w:val="0"/>
              <w:pageBreakBefore w:val="0"/>
              <w:widowControl/>
              <w:suppressLineNumbers w:val="0"/>
              <w:kinsoku/>
              <w:wordWrap/>
              <w:overflowPunct/>
              <w:topLinePunct w:val="0"/>
              <w:autoSpaceDE/>
              <w:autoSpaceDN/>
              <w:bidi w:val="0"/>
              <w:adjustRightInd w:val="0"/>
              <w:snapToGrid w:val="0"/>
              <w:spacing w:line="300" w:lineRule="exact"/>
              <w:jc w:val="center"/>
              <w:textAlignment w:val="center"/>
              <w:rPr>
                <w:rFonts w:hint="default" w:ascii="仿宋_GB2312" w:hAnsi="仿宋_GB2312" w:eastAsia="仿宋_GB2312" w:cs="仿宋_GB2312"/>
                <w:i w:val="0"/>
                <w:color w:val="000000"/>
                <w:spacing w:val="0"/>
                <w:kern w:val="21"/>
                <w:sz w:val="24"/>
                <w:szCs w:val="24"/>
                <w:highlight w:val="none"/>
                <w:u w:val="none"/>
                <w:lang w:val="en-US" w:eastAsia="zh-CN" w:bidi="ar"/>
              </w:rPr>
            </w:pPr>
            <w:r>
              <w:rPr>
                <w:rFonts w:hint="eastAsia" w:ascii="仿宋_GB2312" w:hAnsi="仿宋_GB2312" w:eastAsia="仿宋_GB2312" w:cs="仿宋_GB2312"/>
                <w:kern w:val="0"/>
                <w:sz w:val="24"/>
                <w:szCs w:val="24"/>
                <w:lang w:val="en-US" w:eastAsia="zh-CN"/>
              </w:rPr>
              <w:t>18</w:t>
            </w:r>
          </w:p>
        </w:tc>
        <w:tc>
          <w:tcPr>
            <w:tcW w:w="2955" w:type="dxa"/>
            <w:noWrap w:val="0"/>
            <w:vAlign w:val="center"/>
          </w:tcPr>
          <w:p w14:paraId="6B2E9C2F">
            <w:pPr>
              <w:rPr>
                <w:rFonts w:hint="eastAsia" w:ascii="仿宋_GB2312" w:hAnsi="仿宋_GB2312" w:eastAsia="仿宋_GB2312" w:cs="仿宋_GB2312"/>
                <w:spacing w:val="0"/>
                <w:kern w:val="21"/>
                <w:sz w:val="24"/>
                <w:szCs w:val="24"/>
                <w:highlight w:val="none"/>
                <w:lang w:val="en-US" w:eastAsia="zh-CN"/>
              </w:rPr>
            </w:pPr>
            <w:r>
              <w:rPr>
                <w:rFonts w:hint="eastAsia" w:ascii="仿宋_GB2312" w:hAnsi="仿宋_GB2312" w:eastAsia="仿宋_GB2312" w:cs="仿宋_GB2312"/>
                <w:spacing w:val="0"/>
                <w:kern w:val="21"/>
                <w:sz w:val="24"/>
                <w:szCs w:val="24"/>
                <w:highlight w:val="none"/>
                <w:lang w:val="en-US" w:eastAsia="zh-CN"/>
              </w:rPr>
              <w:t>聚集规以上企业18家，其中高新技术企业5家。主要产品包括各类纯棉及混纺纱线、坯布、染色布、印花布和家纺制品等。2024年，营业收入28.85亿元、增长8.88%，营业收入本区占比为4.39%；税收0.16亿元，占比为0.82%；出口11179万元、占比为5.82%。</w:t>
            </w:r>
          </w:p>
          <w:p w14:paraId="03F4A526">
            <w:pPr>
              <w:keepNext w:val="0"/>
              <w:keepLines w:val="0"/>
              <w:pageBreakBefore w:val="0"/>
              <w:widowControl/>
              <w:suppressLineNumbers w:val="0"/>
              <w:kinsoku/>
              <w:wordWrap/>
              <w:overflowPunct/>
              <w:topLinePunct w:val="0"/>
              <w:autoSpaceDE/>
              <w:autoSpaceDN/>
              <w:bidi w:val="0"/>
              <w:adjustRightInd w:val="0"/>
              <w:snapToGrid w:val="0"/>
              <w:spacing w:line="320" w:lineRule="exact"/>
              <w:jc w:val="both"/>
              <w:textAlignment w:val="center"/>
              <w:rPr>
                <w:rFonts w:hint="eastAsia" w:ascii="仿宋_GB2312" w:hAnsi="仿宋_GB2312" w:eastAsia="仿宋_GB2312" w:cs="仿宋_GB2312"/>
                <w:i w:val="0"/>
                <w:color w:val="000000"/>
                <w:spacing w:val="0"/>
                <w:kern w:val="21"/>
                <w:sz w:val="24"/>
                <w:szCs w:val="24"/>
                <w:highlight w:val="none"/>
                <w:u w:val="none"/>
                <w:lang w:val="en-US" w:eastAsia="zh-CN" w:bidi="ar"/>
              </w:rPr>
            </w:pPr>
          </w:p>
        </w:tc>
        <w:tc>
          <w:tcPr>
            <w:tcW w:w="5841" w:type="dxa"/>
            <w:noWrap w:val="0"/>
            <w:vAlign w:val="center"/>
          </w:tcPr>
          <w:p w14:paraId="2FC3FBD8">
            <w:pPr>
              <w:keepNext w:val="0"/>
              <w:keepLines w:val="0"/>
              <w:pageBreakBefore w:val="0"/>
              <w:kinsoku/>
              <w:wordWrap/>
              <w:overflowPunct/>
              <w:topLinePunct w:val="0"/>
              <w:autoSpaceDE/>
              <w:autoSpaceDN/>
              <w:bidi w:val="0"/>
              <w:adjustRightInd w:val="0"/>
              <w:snapToGrid w:val="0"/>
              <w:spacing w:line="300" w:lineRule="exact"/>
              <w:rPr>
                <w:rFonts w:hint="eastAsia" w:ascii="仿宋_GB2312" w:hAnsi="仿宋_GB2312" w:eastAsia="仿宋_GB2312" w:cs="仿宋_GB2312"/>
                <w:spacing w:val="0"/>
                <w:kern w:val="21"/>
                <w:sz w:val="24"/>
                <w:szCs w:val="24"/>
                <w:highlight w:val="none"/>
                <w:lang w:val="en-US" w:eastAsia="zh-CN"/>
              </w:rPr>
            </w:pPr>
            <w:r>
              <w:rPr>
                <w:rFonts w:hint="eastAsia" w:ascii="仿宋_GB2312" w:hAnsi="仿宋_GB2312" w:eastAsia="仿宋_GB2312" w:cs="仿宋_GB2312"/>
                <w:b/>
                <w:bCs/>
                <w:spacing w:val="0"/>
                <w:kern w:val="21"/>
                <w:sz w:val="24"/>
                <w:szCs w:val="24"/>
                <w:highlight w:val="none"/>
                <w:lang w:val="en-US" w:eastAsia="zh-CN"/>
              </w:rPr>
              <w:t>际华三五四二纺织有限公司：</w:t>
            </w:r>
            <w:r>
              <w:rPr>
                <w:rFonts w:hint="eastAsia" w:ascii="仿宋_GB2312" w:hAnsi="仿宋_GB2312" w:eastAsia="仿宋_GB2312" w:cs="仿宋_GB2312"/>
                <w:spacing w:val="0"/>
                <w:kern w:val="21"/>
                <w:sz w:val="24"/>
                <w:szCs w:val="24"/>
                <w:highlight w:val="none"/>
                <w:lang w:val="en-US" w:eastAsia="zh-CN"/>
              </w:rPr>
              <w:t>先后获得“湖北精品”、中国名牌产品、湖北省名牌产品、中国棉纺织行业协会最具影响力品牌称号，建设有9个科技创新平台，“国家级企业技术中心”、“博士后科研工作站”等2个国家级科技创新平台。“福龙”注册商标被国家认定为中国驰名商标。主营业务为各类纯棉及混纺纱线、坯布、染色布、印花布和家纺制品的研发、生产和销售，产品远销欧美市场。2024年营业收入8.43亿元，上交税金1803.83万元。</w:t>
            </w:r>
          </w:p>
          <w:p w14:paraId="38D79AAE">
            <w:pPr>
              <w:keepNext w:val="0"/>
              <w:keepLines w:val="0"/>
              <w:pageBreakBefore w:val="0"/>
              <w:kinsoku/>
              <w:wordWrap/>
              <w:overflowPunct/>
              <w:topLinePunct w:val="0"/>
              <w:autoSpaceDE/>
              <w:autoSpaceDN/>
              <w:bidi w:val="0"/>
              <w:adjustRightInd w:val="0"/>
              <w:snapToGrid w:val="0"/>
              <w:spacing w:line="300" w:lineRule="exact"/>
              <w:rPr>
                <w:rFonts w:hint="eastAsia" w:ascii="仿宋_GB2312" w:hAnsi="仿宋_GB2312" w:eastAsia="仿宋_GB2312" w:cs="仿宋_GB2312"/>
                <w:spacing w:val="0"/>
                <w:kern w:val="21"/>
                <w:sz w:val="24"/>
                <w:szCs w:val="24"/>
                <w:highlight w:val="none"/>
                <w:lang w:val="en-US" w:eastAsia="zh-CN"/>
              </w:rPr>
            </w:pPr>
            <w:r>
              <w:rPr>
                <w:rFonts w:hint="eastAsia" w:ascii="仿宋_GB2312" w:hAnsi="仿宋_GB2312" w:eastAsia="仿宋_GB2312" w:cs="仿宋_GB2312"/>
                <w:b/>
                <w:bCs/>
                <w:spacing w:val="0"/>
                <w:kern w:val="21"/>
                <w:sz w:val="24"/>
                <w:szCs w:val="24"/>
                <w:highlight w:val="none"/>
                <w:lang w:val="en-US" w:eastAsia="zh-CN"/>
              </w:rPr>
              <w:t>襄阳九天纺织有限公司：</w:t>
            </w:r>
            <w:r>
              <w:rPr>
                <w:rFonts w:hint="eastAsia" w:ascii="仿宋_GB2312" w:hAnsi="仿宋_GB2312" w:eastAsia="仿宋_GB2312" w:cs="仿宋_GB2312"/>
                <w:spacing w:val="0"/>
                <w:kern w:val="21"/>
                <w:sz w:val="24"/>
                <w:szCs w:val="24"/>
                <w:highlight w:val="none"/>
                <w:lang w:val="en-US" w:eastAsia="zh-CN"/>
              </w:rPr>
              <w:t>专精特新中小企业，省级科技型企业，持有2项注册商标，拥有1项行政许可资质，主要生产纺织品、针织品、服装。2024年营业收入1.76亿元，上交税金226.09万元。</w:t>
            </w:r>
          </w:p>
          <w:p w14:paraId="2BC3FFD8">
            <w:pPr>
              <w:keepNext w:val="0"/>
              <w:keepLines w:val="0"/>
              <w:pageBreakBefore w:val="0"/>
              <w:kinsoku/>
              <w:wordWrap/>
              <w:overflowPunct/>
              <w:topLinePunct w:val="0"/>
              <w:autoSpaceDE/>
              <w:autoSpaceDN/>
              <w:bidi w:val="0"/>
              <w:adjustRightInd w:val="0"/>
              <w:snapToGrid w:val="0"/>
              <w:spacing w:line="300" w:lineRule="exac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b/>
                <w:bCs/>
                <w:spacing w:val="0"/>
                <w:kern w:val="21"/>
                <w:sz w:val="24"/>
                <w:szCs w:val="24"/>
                <w:highlight w:val="none"/>
                <w:lang w:val="en-US" w:eastAsia="zh-CN"/>
              </w:rPr>
              <w:t>襄阳盛之杰纺织科技有限公司：</w:t>
            </w:r>
            <w:r>
              <w:rPr>
                <w:rFonts w:hint="eastAsia" w:ascii="仿宋_GB2312" w:hAnsi="仿宋_GB2312" w:eastAsia="仿宋_GB2312" w:cs="仿宋_GB2312"/>
                <w:spacing w:val="0"/>
                <w:kern w:val="21"/>
                <w:sz w:val="24"/>
                <w:szCs w:val="24"/>
                <w:highlight w:val="none"/>
                <w:lang w:val="en-US" w:eastAsia="zh-CN"/>
              </w:rPr>
              <w:t>湖北省高新技术企业、专精特新“小巨人”企业，主要生产家纺面料、服装面料及人棉坯布，发明专利18项。2024年营业收入3667.3万元，上交税金16.2万元。</w:t>
            </w:r>
          </w:p>
        </w:tc>
      </w:tr>
    </w:tbl>
    <w:p w14:paraId="0055DB32"/>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F3BC3"/>
    <w:rsid w:val="0781507A"/>
    <w:rsid w:val="08063DC3"/>
    <w:rsid w:val="09AB2883"/>
    <w:rsid w:val="09DD31A8"/>
    <w:rsid w:val="0B42246A"/>
    <w:rsid w:val="0C8E4FDD"/>
    <w:rsid w:val="0E230C39"/>
    <w:rsid w:val="0FFE387A"/>
    <w:rsid w:val="10374E70"/>
    <w:rsid w:val="139E27C3"/>
    <w:rsid w:val="160D07D9"/>
    <w:rsid w:val="166B756E"/>
    <w:rsid w:val="19475C29"/>
    <w:rsid w:val="19960E59"/>
    <w:rsid w:val="1DCF5E73"/>
    <w:rsid w:val="1E6129C8"/>
    <w:rsid w:val="22D009B5"/>
    <w:rsid w:val="2BF741B7"/>
    <w:rsid w:val="2C3A001B"/>
    <w:rsid w:val="2C9E3E55"/>
    <w:rsid w:val="2D095878"/>
    <w:rsid w:val="2FBC071F"/>
    <w:rsid w:val="30980BBB"/>
    <w:rsid w:val="31E46419"/>
    <w:rsid w:val="3357412F"/>
    <w:rsid w:val="35ED19A9"/>
    <w:rsid w:val="36C008D3"/>
    <w:rsid w:val="372907BF"/>
    <w:rsid w:val="3BB704E1"/>
    <w:rsid w:val="3BCE45B8"/>
    <w:rsid w:val="3C395948"/>
    <w:rsid w:val="3DFC4E7F"/>
    <w:rsid w:val="3FFA5C38"/>
    <w:rsid w:val="4100432A"/>
    <w:rsid w:val="449851D6"/>
    <w:rsid w:val="475E2550"/>
    <w:rsid w:val="4BF67F3D"/>
    <w:rsid w:val="4DC2205A"/>
    <w:rsid w:val="4E24791D"/>
    <w:rsid w:val="4E824F2D"/>
    <w:rsid w:val="543F31FD"/>
    <w:rsid w:val="54850A69"/>
    <w:rsid w:val="553920BD"/>
    <w:rsid w:val="559A0800"/>
    <w:rsid w:val="55FF6B83"/>
    <w:rsid w:val="56986138"/>
    <w:rsid w:val="56AB2B47"/>
    <w:rsid w:val="57A852D8"/>
    <w:rsid w:val="580E62CB"/>
    <w:rsid w:val="5959745E"/>
    <w:rsid w:val="5AF51D5C"/>
    <w:rsid w:val="5F85783B"/>
    <w:rsid w:val="62F43F02"/>
    <w:rsid w:val="63F36DE7"/>
    <w:rsid w:val="64BD20B8"/>
    <w:rsid w:val="65EE3815"/>
    <w:rsid w:val="67446795"/>
    <w:rsid w:val="68C06926"/>
    <w:rsid w:val="6AD4162A"/>
    <w:rsid w:val="6BD732D1"/>
    <w:rsid w:val="6EA33E37"/>
    <w:rsid w:val="6ECD0625"/>
    <w:rsid w:val="70F705B1"/>
    <w:rsid w:val="72A335C4"/>
    <w:rsid w:val="732F740C"/>
    <w:rsid w:val="735F062A"/>
    <w:rsid w:val="73920EBF"/>
    <w:rsid w:val="73DD015E"/>
    <w:rsid w:val="73E060CE"/>
    <w:rsid w:val="74D84939"/>
    <w:rsid w:val="75A31161"/>
    <w:rsid w:val="7C191E22"/>
    <w:rsid w:val="7DA173DB"/>
    <w:rsid w:val="7F073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2">
    <w:name w:val="heading 3"/>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2"/>
    </w:pPr>
    <w:rPr>
      <w:rFonts w:hint="default" w:ascii="Calibri" w:hAnsi="Calibri" w:eastAsia="仿宋_GB2312" w:cs="Times New Roman"/>
      <w:b/>
      <w:kern w:val="2"/>
      <w:sz w:val="32"/>
      <w:szCs w:val="32"/>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Body Text"/>
    <w:basedOn w:val="1"/>
    <w:next w:val="3"/>
    <w:qFormat/>
    <w:uiPriority w:val="0"/>
    <w:pPr>
      <w:spacing w:before="0" w:after="140" w:line="276" w:lineRule="auto"/>
    </w:pPr>
  </w:style>
  <w:style w:type="paragraph" w:styleId="5">
    <w:name w:val="Body Text Indent"/>
    <w:basedOn w:val="1"/>
    <w:next w:val="6"/>
    <w:unhideWhenUsed/>
    <w:qFormat/>
    <w:uiPriority w:val="99"/>
    <w:pPr>
      <w:spacing w:after="120"/>
      <w:ind w:left="420" w:leftChars="200"/>
    </w:pPr>
  </w:style>
  <w:style w:type="paragraph" w:styleId="6">
    <w:name w:val="envelope return"/>
    <w:basedOn w:val="1"/>
    <w:qFormat/>
    <w:uiPriority w:val="0"/>
    <w:pPr>
      <w:snapToGrid w:val="0"/>
      <w:spacing w:line="560" w:lineRule="exact"/>
      <w:ind w:firstLine="640" w:firstLineChars="200"/>
    </w:pPr>
    <w:rPr>
      <w:rFonts w:ascii="Arial" w:hAnsi="Arial" w:eastAsia="仿宋_GB2312" w:cs="Times New Roman"/>
      <w:sz w:val="32"/>
    </w:rPr>
  </w:style>
  <w:style w:type="paragraph" w:styleId="7">
    <w:name w:val="Body Text First Indent 2"/>
    <w:basedOn w:val="5"/>
    <w:next w:val="4"/>
    <w:unhideWhenUsed/>
    <w:qFormat/>
    <w:uiPriority w:val="99"/>
    <w:pPr>
      <w:ind w:firstLine="420" w:firstLineChars="200"/>
    </w:pPr>
  </w:style>
  <w:style w:type="character" w:styleId="10">
    <w:name w:val="Strong"/>
    <w:basedOn w:val="9"/>
    <w:qFormat/>
    <w:uiPriority w:val="0"/>
    <w:rPr>
      <w:b/>
    </w:rPr>
  </w:style>
  <w:style w:type="paragraph" w:customStyle="1" w:styleId="11">
    <w:name w:val="002-黑体"/>
    <w:basedOn w:val="1"/>
    <w:qFormat/>
    <w:uiPriority w:val="0"/>
    <w:pPr>
      <w:adjustRightInd w:val="0"/>
      <w:snapToGrid w:val="0"/>
      <w:jc w:val="center"/>
    </w:pPr>
    <w:rPr>
      <w:rFonts w:ascii="黑体" w:hAnsi="黑体" w:eastAsia="黑体" w:cs="宋体"/>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2038</Words>
  <Characters>2375</Characters>
  <Lines>0</Lines>
  <Paragraphs>0</Paragraphs>
  <TotalTime>4</TotalTime>
  <ScaleCrop>false</ScaleCrop>
  <LinksUpToDate>false</LinksUpToDate>
  <CharactersWithSpaces>2376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2025-08-05T06:45:00Z</dcterms:created>
  <dc:creator>Lenovo</dc:creator>
  <cp:lastModifiedBy>李pan</cp:lastModifiedBy>
  <dcterms:modified xsi:type="dcterms:W3CDTF">2025-08-18T09:23:02Z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eyJoZGlkIjoiM2I0MDQ2NDBlZTE0N2ExYmNiZTkxNDkzNWQ0NWVjODMiLCJ1c2VySWQiOiIyMjY3Mzg1MjAifQ==</vt:lpwstr>
  </property>
  <property fmtid="{D5CDD505-2E9C-101B-9397-08002B2CF9AE}" pid="4" name="ICV">
    <vt:lpwstr>1AAEB7DA546A45108321EC41B61154FF_12</vt:lpwstr>
  </property>
</Properties>
</file>