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0639F5">
      <w:pPr>
        <w:keepNext w:val="0"/>
        <w:keepLines w:val="0"/>
        <w:pageBreakBefore w:val="0"/>
        <w:numPr>
          <w:ilvl w:val="0"/>
          <w:numId w:val="0"/>
        </w:numPr>
        <w:kinsoku/>
        <w:wordWrap/>
        <w:overflowPunct/>
        <w:topLinePunct w:val="0"/>
        <w:autoSpaceDE/>
        <w:autoSpaceDN/>
        <w:bidi w:val="0"/>
        <w:adjustRightInd/>
        <w:snapToGrid/>
        <w:spacing w:line="520" w:lineRule="exact"/>
        <w:ind w:left="0" w:leftChars="0" w:right="0" w:rightChars="0"/>
        <w:jc w:val="center"/>
        <w:textAlignment w:val="auto"/>
        <w:outlineLvl w:val="9"/>
        <w:rPr>
          <w:rFonts w:hint="eastAsia" w:ascii="黑体" w:hAnsi="黑体" w:eastAsia="宋体" w:cs="黑体"/>
          <w:color w:val="auto"/>
          <w:kern w:val="2"/>
          <w:sz w:val="44"/>
          <w:szCs w:val="44"/>
          <w:lang w:val="en-US" w:eastAsia="zh-CN"/>
        </w:rPr>
      </w:pPr>
      <w:r>
        <w:rPr>
          <w:rFonts w:hint="eastAsia" w:ascii="宋体" w:hAnsi="宋体" w:eastAsia="宋体" w:cs="宋体"/>
          <w:color w:val="auto"/>
          <w:kern w:val="2"/>
          <w:sz w:val="44"/>
          <w:szCs w:val="44"/>
          <w:lang w:val="en-US" w:eastAsia="zh-CN"/>
        </w:rPr>
        <w:t>襄州</w:t>
      </w:r>
      <w:r>
        <w:rPr>
          <w:rFonts w:hint="eastAsia" w:ascii="宋体" w:hAnsi="宋体" w:cs="宋体"/>
          <w:color w:val="auto"/>
          <w:kern w:val="2"/>
          <w:sz w:val="44"/>
          <w:szCs w:val="44"/>
          <w:lang w:val="en-US" w:eastAsia="zh-CN"/>
        </w:rPr>
        <w:t>现代物流产业发展情况报告</w:t>
      </w:r>
    </w:p>
    <w:p w14:paraId="21B8507A">
      <w:pPr>
        <w:keepNext w:val="0"/>
        <w:keepLines w:val="0"/>
        <w:pageBreakBefore w:val="0"/>
        <w:widowControl w:val="0"/>
        <w:kinsoku/>
        <w:wordWrap/>
        <w:overflowPunct/>
        <w:topLinePunct w:val="0"/>
        <w:autoSpaceDE/>
        <w:autoSpaceDN/>
        <w:bidi w:val="0"/>
        <w:adjustRightInd/>
        <w:snapToGrid/>
        <w:spacing w:line="520" w:lineRule="exact"/>
        <w:ind w:left="0" w:leftChars="0" w:right="0" w:rightChars="0" w:firstLine="1920" w:firstLineChars="600"/>
        <w:jc w:val="left"/>
        <w:textAlignment w:val="auto"/>
        <w:outlineLvl w:val="9"/>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（区交通物流发展服务中心）</w:t>
      </w:r>
    </w:p>
    <w:p w14:paraId="48A67144">
      <w:pPr>
        <w:keepNext w:val="0"/>
        <w:keepLines w:val="0"/>
        <w:pageBreakBefore w:val="0"/>
        <w:widowControl w:val="0"/>
        <w:kinsoku/>
        <w:wordWrap/>
        <w:overflowPunct/>
        <w:topLinePunct w:val="0"/>
        <w:autoSpaceDE/>
        <w:autoSpaceDN/>
        <w:bidi w:val="0"/>
        <w:adjustRightInd/>
        <w:snapToGrid/>
        <w:spacing w:line="520" w:lineRule="exact"/>
        <w:ind w:left="0" w:leftChars="0" w:right="0" w:rightChars="0" w:firstLine="1920" w:firstLineChars="600"/>
        <w:jc w:val="left"/>
        <w:textAlignment w:val="auto"/>
        <w:outlineLvl w:val="9"/>
        <w:rPr>
          <w:rFonts w:hint="eastAsia" w:ascii="仿宋" w:hAnsi="仿宋" w:eastAsia="仿宋" w:cs="仿宋"/>
          <w:sz w:val="32"/>
          <w:szCs w:val="32"/>
          <w:lang w:val="en-US" w:eastAsia="zh-CN"/>
        </w:rPr>
      </w:pPr>
    </w:p>
    <w:p w14:paraId="122D0309">
      <w:pPr>
        <w:keepNext w:val="0"/>
        <w:keepLines w:val="0"/>
        <w:pageBreakBefore w:val="0"/>
        <w:widowControl w:val="0"/>
        <w:kinsoku/>
        <w:wordWrap/>
        <w:overflowPunct/>
        <w:topLinePunct w:val="0"/>
        <w:autoSpaceDE/>
        <w:autoSpaceDN/>
        <w:bidi w:val="0"/>
        <w:adjustRightInd/>
        <w:snapToGrid/>
        <w:spacing w:line="520" w:lineRule="exact"/>
        <w:ind w:right="0" w:rightChars="0"/>
        <w:jc w:val="left"/>
        <w:textAlignment w:val="auto"/>
        <w:outlineLvl w:val="9"/>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区政府：</w:t>
      </w:r>
    </w:p>
    <w:p w14:paraId="66FFDD4D">
      <w:pPr>
        <w:keepNext w:val="0"/>
        <w:keepLines w:val="0"/>
        <w:pageBreakBefore w:val="0"/>
        <w:widowControl w:val="0"/>
        <w:kinsoku/>
        <w:wordWrap/>
        <w:overflowPunct/>
        <w:topLinePunct w:val="0"/>
        <w:autoSpaceDE/>
        <w:autoSpaceDN/>
        <w:bidi w:val="0"/>
        <w:adjustRightInd/>
        <w:snapToGrid/>
        <w:spacing w:line="520" w:lineRule="exact"/>
        <w:ind w:left="0" w:leftChars="0" w:right="0" w:rightChars="0" w:firstLine="640" w:firstLineChars="200"/>
        <w:jc w:val="left"/>
        <w:textAlignment w:val="auto"/>
        <w:outlineLvl w:val="9"/>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襄州区作为襄阳市主要城区，是襄阳建设国家物流枢纽承载城市的核心发展区之一。区委提出，创建工作融合要紧、落地要实、成果要新，为我区打造物流枢纽承载城市“核心区</w:t>
      </w:r>
      <w:r>
        <w:rPr>
          <w:rFonts w:hint="default" w:ascii="仿宋" w:hAnsi="仿宋" w:eastAsia="仿宋" w:cs="仿宋"/>
          <w:sz w:val="32"/>
          <w:szCs w:val="32"/>
          <w:lang w:val="en-US" w:eastAsia="zh-CN"/>
        </w:rPr>
        <w:t>”</w:t>
      </w:r>
      <w:r>
        <w:rPr>
          <w:rFonts w:hint="eastAsia" w:ascii="仿宋" w:hAnsi="仿宋" w:eastAsia="仿宋" w:cs="仿宋"/>
          <w:sz w:val="32"/>
          <w:szCs w:val="32"/>
          <w:lang w:val="en-US" w:eastAsia="zh-CN"/>
        </w:rPr>
        <w:t>指明了方向。</w:t>
      </w:r>
    </w:p>
    <w:p w14:paraId="67366A44">
      <w:pPr>
        <w:keepNext w:val="0"/>
        <w:keepLines w:val="0"/>
        <w:pageBreakBefore w:val="0"/>
        <w:widowControl w:val="0"/>
        <w:kinsoku/>
        <w:wordWrap/>
        <w:overflowPunct/>
        <w:topLinePunct w:val="0"/>
        <w:autoSpaceDE/>
        <w:autoSpaceDN/>
        <w:bidi w:val="0"/>
        <w:adjustRightInd/>
        <w:snapToGrid/>
        <w:spacing w:line="520" w:lineRule="exact"/>
        <w:ind w:left="0" w:leftChars="0" w:right="0" w:rightChars="0" w:firstLine="640" w:firstLineChars="200"/>
        <w:jc w:val="left"/>
        <w:textAlignment w:val="auto"/>
        <w:outlineLvl w:val="9"/>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创建国家物流枢纽承载城市核心要义就是要顺应现代物流产业发展规律，突出襄州特色和优势，主动融入全市物流产业大格局，在工业、农业、商贸、社会物流多维度，落实全市产业规划，加快建设形成以浩吉物流小镇、唐白河港区、中车、国储为代表的大宗货物多式联运物流集群，以襄阳北京东、韵达、捷顺达为代表的电商快递快运物流集群，以新发地、正大、际华为代表的农副产品产供销一体化物流集群，围绕重点项目建设运营和龙头企业培育，实现政策引导、资金扶持、专业服务精准配给，开创政府聚力、资源聚合、企业聚能、产业聚集的新局面，促进我区现代物流产业健康、快速发展。</w:t>
      </w:r>
    </w:p>
    <w:p w14:paraId="460EAECE">
      <w:pPr>
        <w:keepNext w:val="0"/>
        <w:keepLines w:val="0"/>
        <w:pageBreakBefore w:val="0"/>
        <w:widowControl w:val="0"/>
        <w:numPr>
          <w:ilvl w:val="0"/>
          <w:numId w:val="1"/>
        </w:numPr>
        <w:kinsoku/>
        <w:wordWrap/>
        <w:overflowPunct/>
        <w:topLinePunct w:val="0"/>
        <w:autoSpaceDE/>
        <w:autoSpaceDN/>
        <w:bidi w:val="0"/>
        <w:adjustRightInd/>
        <w:snapToGrid/>
        <w:spacing w:line="520" w:lineRule="exact"/>
        <w:ind w:left="-10" w:leftChars="0" w:right="0" w:rightChars="0" w:firstLine="640" w:firstLineChars="0"/>
        <w:jc w:val="left"/>
        <w:textAlignment w:val="auto"/>
        <w:outlineLvl w:val="9"/>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产业发展的基础条件</w:t>
      </w:r>
    </w:p>
    <w:p w14:paraId="731E9D46">
      <w:pPr>
        <w:keepNext w:val="0"/>
        <w:keepLines w:val="0"/>
        <w:pageBreakBefore w:val="0"/>
        <w:widowControl w:val="0"/>
        <w:kinsoku/>
        <w:wordWrap/>
        <w:overflowPunct/>
        <w:topLinePunct w:val="0"/>
        <w:autoSpaceDE/>
        <w:autoSpaceDN/>
        <w:bidi w:val="0"/>
        <w:adjustRightInd/>
        <w:snapToGrid/>
        <w:spacing w:line="520" w:lineRule="exact"/>
        <w:ind w:firstLine="640" w:firstLineChars="200"/>
        <w:rPr>
          <w:rFonts w:hint="eastAsia" w:ascii="仿宋" w:hAnsi="仿宋" w:eastAsia="仿宋" w:cs="仿宋"/>
          <w:sz w:val="32"/>
          <w:szCs w:val="32"/>
          <w:lang w:eastAsia="zh-CN"/>
        </w:rPr>
      </w:pPr>
      <w:r>
        <w:rPr>
          <w:rFonts w:hint="eastAsia" w:ascii="仿宋" w:hAnsi="仿宋" w:eastAsia="仿宋" w:cs="仿宋"/>
          <w:sz w:val="32"/>
          <w:szCs w:val="32"/>
          <w:lang w:eastAsia="zh-CN"/>
        </w:rPr>
        <w:t>作为襄阳市重要的城区之一，襄州位于全国内陆腹地中心地带，居汉水中游，具有独特的区位优势，自古即为“南船北马”“七省通衢”的交通要塞。经过建国以来多年的持续发展，目前，襄州交通呈现出“一条汉江、一座机场、两条高铁、三条铁路、三条高速公路、四通八达各等级公路，水、陆、空综合发展”的现代交通新格局。</w:t>
      </w:r>
    </w:p>
    <w:p w14:paraId="280A1D73">
      <w:pPr>
        <w:keepNext w:val="0"/>
        <w:keepLines w:val="0"/>
        <w:pageBreakBefore w:val="0"/>
        <w:widowControl w:val="0"/>
        <w:kinsoku/>
        <w:wordWrap/>
        <w:overflowPunct/>
        <w:topLinePunct w:val="0"/>
        <w:autoSpaceDE/>
        <w:autoSpaceDN/>
        <w:bidi w:val="0"/>
        <w:adjustRightInd/>
        <w:snapToGrid/>
        <w:spacing w:line="520" w:lineRule="exact"/>
        <w:ind w:firstLine="640" w:firstLineChars="200"/>
        <w:rPr>
          <w:rFonts w:hint="eastAsia" w:ascii="仿宋" w:hAnsi="仿宋" w:eastAsia="仿宋" w:cs="仿宋"/>
          <w:sz w:val="32"/>
          <w:szCs w:val="32"/>
          <w:lang w:eastAsia="zh-CN"/>
        </w:rPr>
      </w:pPr>
      <w:r>
        <w:rPr>
          <w:rFonts w:hint="eastAsia" w:ascii="仿宋" w:hAnsi="仿宋" w:eastAsia="仿宋" w:cs="仿宋"/>
          <w:sz w:val="32"/>
          <w:szCs w:val="32"/>
          <w:lang w:val="en-US" w:eastAsia="zh-CN"/>
        </w:rPr>
        <w:t>站在“十四五”发展的新起点上，国家实施</w:t>
      </w:r>
      <w:r>
        <w:rPr>
          <w:rFonts w:hint="eastAsia" w:ascii="仿宋" w:hAnsi="仿宋" w:eastAsia="仿宋" w:cs="仿宋"/>
          <w:sz w:val="32"/>
          <w:szCs w:val="32"/>
          <w:lang w:eastAsia="zh-CN"/>
        </w:rPr>
        <w:t>交通强国战略，湖北省被列为交通强国建设首批试点省份为襄州的交通发展营造了大环境。乡村振兴、“中部崛起”、“长江经济带”和省委“一芯两带三区”区域和产业发展布局、</w:t>
      </w:r>
      <w:r>
        <w:rPr>
          <w:rFonts w:hint="eastAsia" w:ascii="仿宋" w:hAnsi="仿宋" w:eastAsia="仿宋" w:cs="仿宋"/>
          <w:sz w:val="32"/>
          <w:szCs w:val="32"/>
          <w:lang w:val="en-US" w:eastAsia="zh-CN"/>
        </w:rPr>
        <w:t>“襄十随神”城市群一体化发展等各种发展战略，为交通运输发展提供了新机遇。</w:t>
      </w:r>
    </w:p>
    <w:p w14:paraId="37556F1D">
      <w:pPr>
        <w:keepNext w:val="0"/>
        <w:keepLines w:val="0"/>
        <w:pageBreakBefore w:val="0"/>
        <w:widowControl/>
        <w:suppressLineNumbers w:val="0"/>
        <w:kinsoku/>
        <w:wordWrap/>
        <w:overflowPunct/>
        <w:topLinePunct w:val="0"/>
        <w:autoSpaceDE/>
        <w:autoSpaceDN/>
        <w:bidi w:val="0"/>
        <w:adjustRightInd/>
        <w:snapToGrid/>
        <w:spacing w:line="520" w:lineRule="exact"/>
        <w:ind w:firstLine="640" w:firstLineChars="200"/>
        <w:jc w:val="both"/>
        <w:rPr>
          <w:rFonts w:hint="eastAsia" w:ascii="仿宋_GB2312" w:hAnsi="仿宋_GB2312" w:eastAsia="仿宋_GB2312"/>
          <w:sz w:val="32"/>
          <w:szCs w:val="32"/>
          <w:lang w:eastAsia="zh-CN"/>
        </w:rPr>
      </w:pPr>
      <w:r>
        <w:rPr>
          <w:rFonts w:hint="eastAsia" w:ascii="仿宋_GB2312" w:hAnsi="仿宋_GB2312" w:eastAsia="仿宋_GB2312" w:cs="仿宋_GB2312"/>
          <w:color w:val="auto"/>
          <w:sz w:val="32"/>
          <w:szCs w:val="32"/>
          <w:lang w:eastAsia="zh-CN"/>
        </w:rPr>
        <w:t>全区公路总里程4461.541公里，路网密度193.48公里/百平方公里，其中：高速公路3条104.095公里，一级公路251.188公里 ，二级公路299.001公里，三级公路182.737公里，四级公路3474.895公里，等外公路149.625公里，国省道桥梁74座7923.74延米。内河航道通航总里程205公里，现有经区政府批复达标渡口29处，双沟镇赵寨砂石集运中心临时性码头1个。</w:t>
      </w:r>
      <w:r>
        <w:rPr>
          <w:rFonts w:hint="eastAsia" w:ascii="仿宋_GB2312" w:eastAsia="仿宋_GB2312"/>
          <w:sz w:val="32"/>
          <w:szCs w:val="32"/>
        </w:rPr>
        <w:t>全区共有客运站11个，其中一级客运站1个（襄州站），四级客运站3个（黄龙站、黄集站、双沟站），五级客运站6个（朱集站、埠口站、张集站、黄渠河站、石桥站、龙王站）。五级农村综合运输服务站1个（龙王）。</w:t>
      </w:r>
      <w:r>
        <w:rPr>
          <w:rFonts w:hint="eastAsia" w:ascii="仿宋_GB2312" w:eastAsia="仿宋_GB2312"/>
          <w:sz w:val="32"/>
          <w:szCs w:val="32"/>
          <w:lang w:eastAsia="zh-CN"/>
        </w:rPr>
        <w:t>现有铁路场站</w:t>
      </w:r>
      <w:r>
        <w:rPr>
          <w:rFonts w:hint="eastAsia" w:ascii="仿宋_GB2312" w:eastAsia="仿宋_GB2312"/>
          <w:sz w:val="32"/>
          <w:szCs w:val="32"/>
          <w:lang w:val="en-US" w:eastAsia="zh-CN"/>
        </w:rPr>
        <w:t>7个（襄州北站、国储站、中车站、郜营站、耿坡站、邓湖站、张家集站）。</w:t>
      </w:r>
      <w:r>
        <w:rPr>
          <w:rFonts w:hint="eastAsia" w:ascii="黑体" w:hAnsi="黑体" w:eastAsia="黑体" w:cs="黑体"/>
          <w:sz w:val="32"/>
          <w:szCs w:val="32"/>
          <w:lang w:val="en-US" w:eastAsia="zh-CN"/>
        </w:rPr>
        <w:t xml:space="preserve"> </w:t>
      </w:r>
    </w:p>
    <w:p w14:paraId="0CFD17AE">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baseline"/>
        <w:rPr>
          <w:rFonts w:hint="eastAsia" w:ascii="仿宋_GB2312" w:hAnsi="仿宋_GB2312" w:eastAsia="仿宋_GB2312"/>
          <w:sz w:val="32"/>
          <w:szCs w:val="32"/>
        </w:rPr>
      </w:pPr>
      <w:r>
        <w:rPr>
          <w:rFonts w:hint="eastAsia" w:ascii="仿宋_GB2312" w:hAnsi="仿宋_GB2312" w:eastAsia="仿宋_GB2312"/>
          <w:sz w:val="32"/>
          <w:szCs w:val="32"/>
        </w:rPr>
        <w:t>“十四五”期间，全区交通各项建设规划总投资301.9亿元。其中：</w:t>
      </w:r>
    </w:p>
    <w:p w14:paraId="5629C5A8">
      <w:pPr>
        <w:keepNext w:val="0"/>
        <w:keepLines w:val="0"/>
        <w:pageBreakBefore w:val="0"/>
        <w:widowControl w:val="0"/>
        <w:numPr>
          <w:ilvl w:val="0"/>
          <w:numId w:val="2"/>
        </w:numPr>
        <w:kinsoku/>
        <w:wordWrap/>
        <w:overflowPunct/>
        <w:topLinePunct w:val="0"/>
        <w:autoSpaceDE/>
        <w:autoSpaceDN/>
        <w:bidi w:val="0"/>
        <w:adjustRightInd/>
        <w:snapToGrid/>
        <w:spacing w:line="520" w:lineRule="exact"/>
        <w:ind w:left="-13" w:leftChars="0" w:firstLine="643" w:firstLineChars="0"/>
        <w:textAlignment w:val="baseline"/>
        <w:rPr>
          <w:rFonts w:hint="eastAsia" w:ascii="仿宋_GB2312" w:hAnsi="仿宋_GB2312" w:eastAsia="仿宋_GB2312"/>
          <w:sz w:val="32"/>
          <w:szCs w:val="32"/>
        </w:rPr>
      </w:pPr>
      <w:r>
        <w:rPr>
          <w:rFonts w:hint="eastAsia" w:ascii="楷体_GB2312" w:hAnsi="楷体_GB2312" w:eastAsia="楷体_GB2312" w:cs="楷体_GB2312"/>
          <w:b w:val="0"/>
          <w:bCs w:val="0"/>
          <w:kern w:val="2"/>
          <w:sz w:val="32"/>
          <w:szCs w:val="32"/>
          <w:lang w:val="en-US" w:eastAsia="zh-CN" w:bidi="ar-SA"/>
        </w:rPr>
        <w:t>以织密优化骨干路网为目标，加大国省道项目建设。</w:t>
      </w:r>
      <w:r>
        <w:rPr>
          <w:rFonts w:hint="eastAsia" w:ascii="仿宋_GB2312" w:hAnsi="仿宋_GB2312" w:eastAsia="仿宋_GB2312"/>
          <w:sz w:val="32"/>
          <w:szCs w:val="32"/>
          <w:lang w:eastAsia="zh-CN"/>
        </w:rPr>
        <w:t>规划建设襄阳至新野高速公路。</w:t>
      </w:r>
      <w:r>
        <w:rPr>
          <w:rFonts w:hint="eastAsia" w:ascii="仿宋_GB2312" w:hAnsi="仿宋_GB2312" w:eastAsia="仿宋_GB2312"/>
          <w:sz w:val="32"/>
          <w:szCs w:val="32"/>
        </w:rPr>
        <w:t>规划建设一级公路项目16个，212.7公里，总投资约151.43亿元。包括217省道古驿二房至襄阳高新区南北轴线改建工程13.1公里、316省道襄州区新G207交叉路口至老河口界点任岗段改建工程15.5公里、218省道襄州峪山至宜城界改建工程19公里、福银高速襄阳东互通至唐白河港连接线</w:t>
      </w:r>
      <w:r>
        <w:rPr>
          <w:rFonts w:hint="eastAsia" w:ascii="仿宋_GB2312" w:hAnsi="仿宋_GB2312" w:eastAsia="仿宋_GB2312"/>
          <w:sz w:val="32"/>
          <w:szCs w:val="32"/>
          <w:lang w:eastAsia="zh-CN"/>
        </w:rPr>
        <w:t>工程</w:t>
      </w:r>
      <w:r>
        <w:rPr>
          <w:rFonts w:hint="eastAsia" w:ascii="仿宋_GB2312" w:hAnsi="仿宋_GB2312" w:eastAsia="仿宋_GB2312"/>
          <w:sz w:val="32"/>
          <w:szCs w:val="32"/>
        </w:rPr>
        <w:t>10公里等。</w:t>
      </w:r>
      <w:r>
        <w:rPr>
          <w:rFonts w:hint="eastAsia" w:ascii="仿宋_GB2312" w:hAnsi="仿宋_GB2312" w:eastAsia="仿宋_GB2312"/>
          <w:sz w:val="32"/>
          <w:szCs w:val="32"/>
          <w:lang w:eastAsia="zh-CN"/>
        </w:rPr>
        <w:t>规划建设</w:t>
      </w:r>
      <w:r>
        <w:rPr>
          <w:rFonts w:hint="eastAsia" w:ascii="仿宋_GB2312" w:hAnsi="仿宋_GB2312" w:eastAsia="仿宋_GB2312"/>
          <w:sz w:val="32"/>
          <w:szCs w:val="32"/>
        </w:rPr>
        <w:t>二级公路项目6个，规划建设63公里，总投资约33.95亿元。具体为：310省道李楼至河口界改建工程18.3公里、273省道襄州区程河镇西刘至双沟东王岗绕镇改建工程21.5公里、316省道古驿张官桥至黄集泰山段改建工程7.2公里等。</w:t>
      </w:r>
    </w:p>
    <w:p w14:paraId="7BCD7528">
      <w:pPr>
        <w:pStyle w:val="2"/>
        <w:keepNext w:val="0"/>
        <w:keepLines w:val="0"/>
        <w:pageBreakBefore w:val="0"/>
        <w:numPr>
          <w:ilvl w:val="0"/>
          <w:numId w:val="0"/>
        </w:numPr>
        <w:kinsoku/>
        <w:wordWrap/>
        <w:overflowPunct/>
        <w:topLinePunct w:val="0"/>
        <w:autoSpaceDE/>
        <w:autoSpaceDN/>
        <w:bidi w:val="0"/>
        <w:adjustRightInd/>
        <w:snapToGrid/>
        <w:spacing w:line="520" w:lineRule="exact"/>
        <w:ind w:firstLine="640" w:firstLineChars="200"/>
        <w:rPr>
          <w:rFonts w:hint="eastAsia"/>
        </w:rPr>
      </w:pPr>
      <w:r>
        <w:rPr>
          <w:rFonts w:hint="eastAsia" w:ascii="仿宋_GB2312" w:eastAsia="仿宋_GB2312"/>
          <w:sz w:val="32"/>
          <w:szCs w:val="32"/>
          <w:lang w:val="en-US" w:eastAsia="zh-CN"/>
        </w:rPr>
        <w:t>316国道、</w:t>
      </w:r>
      <w:r>
        <w:rPr>
          <w:rFonts w:hint="eastAsia" w:ascii="仿宋_GB2312" w:eastAsia="仿宋_GB2312"/>
          <w:sz w:val="32"/>
          <w:szCs w:val="32"/>
        </w:rPr>
        <w:t>207</w:t>
      </w:r>
      <w:r>
        <w:rPr>
          <w:rFonts w:hint="eastAsia" w:ascii="仿宋_GB2312" w:eastAsia="仿宋_GB2312"/>
          <w:sz w:val="32"/>
          <w:szCs w:val="32"/>
          <w:lang w:eastAsia="zh-CN"/>
        </w:rPr>
        <w:t>国道</w:t>
      </w:r>
      <w:r>
        <w:rPr>
          <w:rFonts w:hint="eastAsia" w:ascii="仿宋_GB2312" w:eastAsia="仿宋_GB2312"/>
          <w:sz w:val="32"/>
          <w:szCs w:val="32"/>
        </w:rPr>
        <w:t>改</w:t>
      </w:r>
      <w:r>
        <w:rPr>
          <w:rFonts w:hint="eastAsia" w:ascii="仿宋_GB2312" w:eastAsia="仿宋_GB2312"/>
          <w:sz w:val="32"/>
          <w:szCs w:val="32"/>
          <w:lang w:eastAsia="zh-CN"/>
        </w:rPr>
        <w:t>线</w:t>
      </w:r>
      <w:r>
        <w:rPr>
          <w:rFonts w:hint="eastAsia" w:ascii="仿宋_GB2312" w:eastAsia="仿宋_GB2312"/>
          <w:sz w:val="32"/>
          <w:szCs w:val="32"/>
        </w:rPr>
        <w:t>襄州段</w:t>
      </w:r>
      <w:r>
        <w:rPr>
          <w:rFonts w:hint="eastAsia" w:ascii="仿宋_GB2312" w:eastAsia="仿宋_GB2312"/>
          <w:sz w:val="32"/>
          <w:szCs w:val="32"/>
          <w:lang w:eastAsia="zh-CN"/>
        </w:rPr>
        <w:t>已建成通车。</w:t>
      </w:r>
      <w:r>
        <w:rPr>
          <w:rFonts w:hint="eastAsia" w:ascii="仿宋_GB2312" w:eastAsia="仿宋_GB2312"/>
          <w:sz w:val="32"/>
          <w:szCs w:val="32"/>
        </w:rPr>
        <w:t>440省道2.982公里枣阳蔡阳至张家集段改建工程</w:t>
      </w:r>
      <w:r>
        <w:rPr>
          <w:rFonts w:hint="eastAsia" w:ascii="仿宋_GB2312" w:eastAsia="仿宋_GB2312"/>
          <w:sz w:val="32"/>
          <w:szCs w:val="32"/>
          <w:lang w:eastAsia="zh-CN"/>
        </w:rPr>
        <w:t>、</w:t>
      </w:r>
      <w:r>
        <w:rPr>
          <w:rFonts w:hint="eastAsia" w:ascii="仿宋_GB2312" w:hAnsi="仿宋_GB2312" w:eastAsia="仿宋_GB2312" w:cs="仿宋_GB2312"/>
          <w:sz w:val="32"/>
          <w:szCs w:val="32"/>
          <w:lang w:val="en-US" w:eastAsia="zh-CN"/>
        </w:rPr>
        <w:t xml:space="preserve">274省道25.4公里闵桥至白集段大修工程、316省道12.45公里薛集至老河口市任岗段路面大修工程全面完工。316省道唐河特大桥、白河特大桥已正式通车。   </w:t>
      </w:r>
    </w:p>
    <w:p w14:paraId="2BA8ACD9">
      <w:pPr>
        <w:keepNext w:val="0"/>
        <w:keepLines w:val="0"/>
        <w:pageBreakBefore w:val="0"/>
        <w:numPr>
          <w:ilvl w:val="0"/>
          <w:numId w:val="0"/>
        </w:numPr>
        <w:kinsoku/>
        <w:wordWrap/>
        <w:overflowPunct/>
        <w:topLinePunct w:val="0"/>
        <w:autoSpaceDE/>
        <w:autoSpaceDN/>
        <w:bidi w:val="0"/>
        <w:adjustRightInd/>
        <w:snapToGrid/>
        <w:spacing w:line="520" w:lineRule="exact"/>
        <w:ind w:firstLine="640" w:firstLineChars="200"/>
        <w:rPr>
          <w:rFonts w:hint="eastAsia" w:ascii="仿宋_GB2312" w:hAnsi="仿宋_GB2312" w:eastAsia="仿宋_GB2312"/>
          <w:sz w:val="32"/>
          <w:szCs w:val="32"/>
          <w:lang w:eastAsia="zh-CN"/>
        </w:rPr>
      </w:pPr>
      <w:r>
        <w:rPr>
          <w:rFonts w:hint="eastAsia" w:ascii="楷体_GB2312" w:hAnsi="楷体_GB2312" w:eastAsia="楷体_GB2312" w:cs="楷体_GB2312"/>
          <w:b w:val="0"/>
          <w:bCs w:val="0"/>
          <w:kern w:val="2"/>
          <w:sz w:val="32"/>
          <w:szCs w:val="32"/>
          <w:lang w:val="en-US" w:eastAsia="zh-CN" w:bidi="ar-SA"/>
        </w:rPr>
        <w:t>（二）以加快水运振兴为重点，加大港航项目建设。</w:t>
      </w:r>
      <w:r>
        <w:rPr>
          <w:rFonts w:hint="eastAsia" w:ascii="仿宋_GB2312" w:hAnsi="仿宋_GB2312" w:eastAsia="仿宋_GB2312"/>
          <w:sz w:val="32"/>
          <w:szCs w:val="32"/>
        </w:rPr>
        <w:t>概算总投资约36亿元</w:t>
      </w:r>
      <w:r>
        <w:rPr>
          <w:rFonts w:hint="eastAsia" w:ascii="仿宋_GB2312" w:hAnsi="仿宋_GB2312" w:eastAsia="仿宋_GB2312"/>
          <w:sz w:val="32"/>
          <w:szCs w:val="32"/>
          <w:lang w:eastAsia="zh-CN"/>
        </w:rPr>
        <w:t>，</w:t>
      </w:r>
      <w:r>
        <w:rPr>
          <w:rFonts w:hint="eastAsia" w:ascii="仿宋_GB2312" w:hAnsi="仿宋_GB2312" w:eastAsia="仿宋_GB2312"/>
          <w:sz w:val="32"/>
          <w:szCs w:val="32"/>
        </w:rPr>
        <w:t>拟新建综合码头4个：赵寨、龚咀</w:t>
      </w:r>
      <w:r>
        <w:rPr>
          <w:rFonts w:hint="eastAsia" w:ascii="仿宋_GB2312" w:hAnsi="仿宋_GB2312" w:eastAsia="仿宋_GB2312"/>
          <w:sz w:val="32"/>
          <w:szCs w:val="32"/>
          <w:lang w:eastAsia="zh-CN"/>
        </w:rPr>
        <w:t>、</w:t>
      </w:r>
      <w:r>
        <w:rPr>
          <w:rFonts w:hint="eastAsia" w:ascii="仿宋_GB2312" w:hAnsi="仿宋_GB2312" w:eastAsia="仿宋_GB2312"/>
          <w:sz w:val="32"/>
          <w:szCs w:val="32"/>
        </w:rPr>
        <w:t>程河、朱集港点码头，唐白河（唐河）航运开发项目，白河航运开发工程项目。</w:t>
      </w:r>
      <w:r>
        <w:rPr>
          <w:rFonts w:hint="eastAsia" w:ascii="仿宋_GB2312" w:hAnsi="仿宋_GB2312" w:eastAsia="仿宋_GB2312"/>
          <w:sz w:val="32"/>
          <w:szCs w:val="32"/>
          <w:lang w:eastAsia="zh-CN"/>
        </w:rPr>
        <w:t>在全区境内形成布局完善、衔接通畅、通江达海、保障有力的水运网络。其中，</w:t>
      </w:r>
      <w:r>
        <w:rPr>
          <w:rFonts w:hint="eastAsia" w:ascii="仿宋_GB2312" w:hAnsi="仿宋_GB2312" w:eastAsia="仿宋_GB2312"/>
          <w:sz w:val="32"/>
          <w:szCs w:val="32"/>
        </w:rPr>
        <w:t>唐白河（唐河）航运开发项目总预算14.07亿元，是交通运输“十四五”规划项目，是鄂豫两省联合开发的“十四五”重点水运项目，是襄阳市打造汉江航运中心的核心项目之一。项目已完成规划</w:t>
      </w:r>
      <w:r>
        <w:rPr>
          <w:rFonts w:hint="eastAsia" w:ascii="仿宋_GB2312" w:hAnsi="仿宋_GB2312" w:eastAsia="仿宋_GB2312"/>
          <w:sz w:val="32"/>
          <w:szCs w:val="32"/>
          <w:lang w:eastAsia="zh-CN"/>
        </w:rPr>
        <w:t>并</w:t>
      </w:r>
      <w:r>
        <w:rPr>
          <w:rFonts w:hint="eastAsia" w:ascii="仿宋_GB2312" w:hAnsi="仿宋_GB2312" w:eastAsia="仿宋_GB2312"/>
          <w:sz w:val="32"/>
          <w:szCs w:val="32"/>
        </w:rPr>
        <w:t>全面启动建设</w:t>
      </w:r>
      <w:r>
        <w:rPr>
          <w:rFonts w:hint="eastAsia" w:ascii="仿宋_GB2312" w:hAnsi="仿宋_GB2312" w:eastAsia="仿宋_GB2312"/>
          <w:sz w:val="32"/>
          <w:szCs w:val="32"/>
          <w:lang w:eastAsia="zh-CN"/>
        </w:rPr>
        <w:t>，大部分工程已完成或接近尾声</w:t>
      </w:r>
      <w:r>
        <w:rPr>
          <w:rFonts w:hint="eastAsia" w:ascii="仿宋_GB2312" w:hAnsi="仿宋_GB2312" w:eastAsia="仿宋_GB2312"/>
          <w:sz w:val="32"/>
          <w:szCs w:val="32"/>
        </w:rPr>
        <w:t>。交通运输部、长江水利委员会等上级主管部门对工程建设均表示大力支持，将从项目、资金等方面予以政策倾斜。工程竣工后，可极大的恢复和提升襄州水运的战略地位，优化襄州综合运输能力，建立水、陆、空、铁近距离衔接的现代交通网络，推进襄州区物流运输向低碳环保转型升级。预计在“十四五”末，可实现航道年货物运量835万吨，远期可达</w:t>
      </w:r>
      <w:r>
        <w:rPr>
          <w:rFonts w:hint="eastAsia" w:ascii="仿宋_GB2312" w:hAnsi="仿宋_GB2312" w:eastAsia="仿宋_GB2312"/>
          <w:sz w:val="32"/>
          <w:szCs w:val="32"/>
          <w:lang w:val="en-US" w:eastAsia="zh-CN"/>
        </w:rPr>
        <w:t>1</w:t>
      </w:r>
      <w:r>
        <w:rPr>
          <w:rFonts w:hint="eastAsia" w:ascii="仿宋_GB2312" w:hAnsi="仿宋_GB2312" w:eastAsia="仿宋_GB2312"/>
          <w:sz w:val="32"/>
          <w:szCs w:val="32"/>
        </w:rPr>
        <w:t>000万吨以上，拉动物流、人流、信息流，促进市场消费更加繁荣，为襄州区建设汉江流域城乡一体化示范区提供有力支撑。预计“十四五”末可实现年产值20亿元。</w:t>
      </w:r>
    </w:p>
    <w:p w14:paraId="55A9D33C">
      <w:pPr>
        <w:pStyle w:val="2"/>
        <w:keepNext w:val="0"/>
        <w:keepLines w:val="0"/>
        <w:pageBreakBefore w:val="0"/>
        <w:numPr>
          <w:ilvl w:val="0"/>
          <w:numId w:val="0"/>
        </w:numPr>
        <w:kinsoku/>
        <w:wordWrap/>
        <w:overflowPunct/>
        <w:topLinePunct w:val="0"/>
        <w:autoSpaceDE/>
        <w:autoSpaceDN/>
        <w:bidi w:val="0"/>
        <w:adjustRightInd/>
        <w:snapToGrid/>
        <w:spacing w:line="520" w:lineRule="exact"/>
        <w:rPr>
          <w:rFonts w:hint="eastAsia" w:ascii="仿宋_GB2312" w:hAnsi="仿宋_GB2312" w:eastAsia="仿宋_GB2312"/>
          <w:kern w:val="2"/>
          <w:sz w:val="32"/>
          <w:szCs w:val="32"/>
          <w:lang w:val="en-US" w:eastAsia="zh-CN" w:bidi="ar-SA"/>
        </w:rPr>
      </w:pPr>
      <w:r>
        <w:rPr>
          <w:rFonts w:hint="eastAsia"/>
          <w:b w:val="0"/>
          <w:bCs w:val="0"/>
          <w:lang w:val="en-US" w:eastAsia="zh-CN"/>
        </w:rPr>
        <w:t xml:space="preserve">    </w:t>
      </w:r>
      <w:r>
        <w:rPr>
          <w:rFonts w:hint="eastAsia" w:ascii="楷体_GB2312" w:hAnsi="楷体_GB2312" w:eastAsia="楷体_GB2312" w:cs="楷体_GB2312"/>
          <w:b w:val="0"/>
          <w:bCs w:val="0"/>
          <w:sz w:val="32"/>
          <w:szCs w:val="32"/>
        </w:rPr>
        <w:t>（</w:t>
      </w:r>
      <w:r>
        <w:rPr>
          <w:rFonts w:hint="eastAsia" w:ascii="楷体_GB2312" w:hAnsi="楷体_GB2312" w:eastAsia="楷体_GB2312" w:cs="楷体_GB2312"/>
          <w:b w:val="0"/>
          <w:bCs w:val="0"/>
          <w:sz w:val="32"/>
          <w:szCs w:val="32"/>
          <w:lang w:eastAsia="zh-CN"/>
        </w:rPr>
        <w:t>三</w:t>
      </w:r>
      <w:r>
        <w:rPr>
          <w:rFonts w:hint="eastAsia" w:ascii="楷体_GB2312" w:hAnsi="楷体_GB2312" w:eastAsia="楷体_GB2312" w:cs="楷体_GB2312"/>
          <w:b w:val="0"/>
          <w:bCs w:val="0"/>
          <w:sz w:val="32"/>
          <w:szCs w:val="32"/>
        </w:rPr>
        <w:t>）</w:t>
      </w:r>
      <w:r>
        <w:rPr>
          <w:rFonts w:hint="eastAsia" w:ascii="楷体_GB2312" w:hAnsi="楷体_GB2312" w:eastAsia="楷体_GB2312" w:cs="楷体_GB2312"/>
          <w:b w:val="0"/>
          <w:bCs w:val="0"/>
          <w:sz w:val="32"/>
          <w:szCs w:val="32"/>
          <w:lang w:eastAsia="zh-CN"/>
        </w:rPr>
        <w:t>以加快农村公路提档升级为重点，全面提升农村公路服务保障能力。</w:t>
      </w:r>
      <w:r>
        <w:rPr>
          <w:rFonts w:hint="eastAsia" w:ascii="仿宋_GB2312" w:hAnsi="仿宋_GB2312" w:eastAsia="仿宋_GB2312"/>
          <w:sz w:val="32"/>
          <w:szCs w:val="32"/>
        </w:rPr>
        <w:t>总投资约45.44亿元。</w:t>
      </w:r>
      <w:r>
        <w:rPr>
          <w:rFonts w:hint="eastAsia" w:ascii="仿宋_GB2312" w:hAnsi="仿宋_GB2312" w:eastAsia="仿宋_GB2312"/>
          <w:sz w:val="32"/>
          <w:szCs w:val="32"/>
          <w:lang w:eastAsia="zh-CN"/>
        </w:rPr>
        <w:t>积极创建“四好农村路”示范区，积极推荐农谷大道为全省最美农村公路，对县道路按照提档升级标准，规划建设</w:t>
      </w:r>
      <w:r>
        <w:rPr>
          <w:rFonts w:hint="eastAsia" w:ascii="仿宋_GB2312" w:hAnsi="仿宋_GB2312" w:eastAsia="仿宋_GB2312"/>
          <w:sz w:val="32"/>
          <w:szCs w:val="32"/>
          <w:lang w:val="en-US" w:eastAsia="zh-CN"/>
        </w:rPr>
        <w:t>16条263.63公里，县级道路采取PPP方式，投资11.4亿元。对村级道路结合乡村振兴，分三批对全区村级道路进行升级改造，打通村级循环；</w:t>
      </w:r>
      <w:r>
        <w:rPr>
          <w:rFonts w:hint="eastAsia" w:ascii="仿宋_GB2312" w:hAnsi="仿宋_GB2312" w:eastAsia="仿宋_GB2312"/>
          <w:sz w:val="32"/>
          <w:szCs w:val="32"/>
          <w:lang w:eastAsia="zh-CN"/>
        </w:rPr>
        <w:t>加快</w:t>
      </w:r>
      <w:r>
        <w:rPr>
          <w:rFonts w:hint="eastAsia" w:ascii="仿宋_GB2312" w:hAnsi="仿宋_GB2312" w:eastAsia="仿宋_GB2312"/>
          <w:sz w:val="32"/>
          <w:szCs w:val="32"/>
        </w:rPr>
        <w:t>建制村双通道、15户（10户）以上自然村硬化路、资源路、产业路、旅游路、路网改善、公路提质改造、联网路、农村公路桥梁等项目</w:t>
      </w:r>
      <w:r>
        <w:rPr>
          <w:rFonts w:hint="eastAsia" w:ascii="仿宋_GB2312" w:hAnsi="仿宋_GB2312" w:eastAsia="仿宋_GB2312"/>
          <w:sz w:val="32"/>
          <w:szCs w:val="32"/>
          <w:lang w:eastAsia="zh-CN"/>
        </w:rPr>
        <w:t>建设</w:t>
      </w:r>
      <w:r>
        <w:rPr>
          <w:rFonts w:hint="eastAsia" w:ascii="仿宋_GB2312" w:hAnsi="仿宋_GB2312" w:eastAsia="仿宋_GB2312"/>
          <w:sz w:val="32"/>
          <w:szCs w:val="32"/>
        </w:rPr>
        <w:t>。</w:t>
      </w:r>
      <w:r>
        <w:rPr>
          <w:rFonts w:hint="eastAsia" w:ascii="仿宋_GB2312" w:hAnsi="仿宋_GB2312" w:eastAsia="仿宋_GB2312"/>
          <w:sz w:val="32"/>
          <w:szCs w:val="32"/>
          <w:lang w:val="en-US" w:eastAsia="zh-CN"/>
        </w:rPr>
        <w:t>推进</w:t>
      </w:r>
      <w:r>
        <w:rPr>
          <w:rFonts w:hint="eastAsia" w:ascii="仿宋_GB2312" w:hAnsi="仿宋_GB2312" w:eastAsia="仿宋_GB2312"/>
          <w:sz w:val="32"/>
          <w:szCs w:val="32"/>
        </w:rPr>
        <w:t>60.09公里鄂北水资源生态旅游路项目</w:t>
      </w:r>
      <w:r>
        <w:rPr>
          <w:rFonts w:hint="eastAsia" w:ascii="仿宋_GB2312" w:hAnsi="仿宋_GB2312" w:eastAsia="仿宋_GB2312"/>
          <w:sz w:val="32"/>
          <w:szCs w:val="32"/>
          <w:lang w:eastAsia="zh-CN"/>
        </w:rPr>
        <w:t>建设</w:t>
      </w:r>
      <w:r>
        <w:rPr>
          <w:rFonts w:hint="eastAsia" w:ascii="仿宋_GB2312" w:hAnsi="仿宋_GB2312" w:eastAsia="仿宋_GB2312"/>
          <w:sz w:val="32"/>
          <w:szCs w:val="32"/>
        </w:rPr>
        <w:t>，</w:t>
      </w:r>
      <w:r>
        <w:rPr>
          <w:rFonts w:hint="eastAsia" w:ascii="仿宋_GB2312" w:hAnsi="仿宋_GB2312" w:eastAsia="仿宋_GB2312"/>
          <w:sz w:val="32"/>
          <w:szCs w:val="32"/>
          <w:lang w:eastAsia="zh-CN"/>
        </w:rPr>
        <w:t>形成美丽风景线。</w:t>
      </w:r>
    </w:p>
    <w:p w14:paraId="5A35653F">
      <w:pPr>
        <w:keepNext w:val="0"/>
        <w:keepLines w:val="0"/>
        <w:pageBreakBefore w:val="0"/>
        <w:widowControl w:val="0"/>
        <w:numPr>
          <w:ilvl w:val="0"/>
          <w:numId w:val="0"/>
        </w:numPr>
        <w:kinsoku/>
        <w:wordWrap/>
        <w:overflowPunct/>
        <w:topLinePunct w:val="0"/>
        <w:autoSpaceDE/>
        <w:autoSpaceDN/>
        <w:bidi w:val="0"/>
        <w:adjustRightInd/>
        <w:snapToGrid/>
        <w:spacing w:line="520" w:lineRule="exact"/>
        <w:rPr>
          <w:rFonts w:hint="eastAsia" w:ascii="黑体" w:hAnsi="黑体" w:eastAsia="黑体" w:cs="黑体"/>
          <w:sz w:val="32"/>
          <w:szCs w:val="32"/>
          <w:lang w:val="en-US" w:eastAsia="zh-CN"/>
        </w:rPr>
      </w:pPr>
      <w:r>
        <w:rPr>
          <w:rFonts w:hint="eastAsia" w:ascii="仿宋_GB2312" w:hAnsi="仿宋_GB2312" w:eastAsia="仿宋_GB2312" w:cs="仿宋_GB2312"/>
          <w:sz w:val="32"/>
          <w:szCs w:val="32"/>
          <w:lang w:val="en-US" w:eastAsia="zh-CN"/>
        </w:rPr>
        <w:t xml:space="preserve">     </w:t>
      </w:r>
      <w:r>
        <w:rPr>
          <w:rFonts w:hint="eastAsia" w:ascii="黑体" w:hAnsi="黑体" w:eastAsia="黑体" w:cs="黑体"/>
          <w:color w:val="auto"/>
          <w:kern w:val="2"/>
          <w:sz w:val="32"/>
          <w:szCs w:val="32"/>
          <w:lang w:val="en-US" w:eastAsia="zh-CN"/>
        </w:rPr>
        <w:t>二、物流产业的发展现状</w:t>
      </w:r>
      <w:r>
        <w:rPr>
          <w:rFonts w:hint="eastAsia" w:ascii="仿宋" w:hAnsi="仿宋" w:eastAsia="仿宋" w:cs="仿宋"/>
          <w:color w:val="auto"/>
          <w:kern w:val="2"/>
          <w:sz w:val="32"/>
          <w:szCs w:val="32"/>
          <w:lang w:val="en-US" w:eastAsia="zh-CN"/>
        </w:rPr>
        <w:t xml:space="preserve">    </w:t>
      </w:r>
    </w:p>
    <w:p w14:paraId="127AD525">
      <w:pPr>
        <w:keepNext w:val="0"/>
        <w:keepLines w:val="0"/>
        <w:pageBreakBefore w:val="0"/>
        <w:numPr>
          <w:ilvl w:val="0"/>
          <w:numId w:val="0"/>
        </w:numPr>
        <w:kinsoku/>
        <w:wordWrap/>
        <w:overflowPunct/>
        <w:topLinePunct w:val="0"/>
        <w:autoSpaceDE/>
        <w:autoSpaceDN/>
        <w:bidi w:val="0"/>
        <w:adjustRightInd/>
        <w:snapToGrid/>
        <w:spacing w:line="520" w:lineRule="exact"/>
        <w:ind w:left="0" w:leftChars="0" w:right="0" w:rightChars="0" w:firstLine="640"/>
        <w:textAlignment w:val="auto"/>
        <w:rPr>
          <w:rFonts w:hint="eastAsia" w:ascii="仿宋_GB2312" w:hAnsi="仿宋_GB2312" w:eastAsia="仿宋_GB2312" w:cs="仿宋_GB2312"/>
          <w:color w:val="auto"/>
          <w:kern w:val="2"/>
          <w:sz w:val="32"/>
          <w:szCs w:val="32"/>
          <w:lang w:val="en-US" w:eastAsia="zh-CN"/>
        </w:rPr>
      </w:pPr>
      <w:r>
        <w:rPr>
          <w:rFonts w:hint="eastAsia" w:ascii="楷体" w:hAnsi="楷体" w:eastAsia="楷体" w:cs="楷体"/>
          <w:color w:val="auto"/>
          <w:kern w:val="2"/>
          <w:sz w:val="32"/>
          <w:szCs w:val="32"/>
          <w:lang w:val="en-US" w:eastAsia="zh-CN"/>
        </w:rPr>
        <w:t>（一）主要运营指标。</w:t>
      </w:r>
      <w:r>
        <w:rPr>
          <w:rFonts w:hint="eastAsia" w:ascii="仿宋_GB2312" w:hAnsi="仿宋_GB2312" w:eastAsia="仿宋_GB2312" w:cs="仿宋_GB2312"/>
          <w:color w:val="auto"/>
          <w:kern w:val="2"/>
          <w:sz w:val="32"/>
          <w:szCs w:val="32"/>
          <w:lang w:val="en-US" w:eastAsia="zh-CN"/>
        </w:rPr>
        <w:t>2024年,全区社会物流总收入突破80亿元，物流业增加值13亿元。自2020年疫情以来，我区物流市场发展呈现波浪式前进，稳中有进的新特点。2021年仍受疫情影响，呈现出增长乏力、以稳为主的局面。工业品物流的交易总量增速趋缓，农产品物流交易总量保持稳定，电商消费和快递快运交易量迅猛增加。物流项目建设实际到位资金总体明显放缓，国企投资加大，民企投资锐减。传统物流企业受大数据、平台经济冲击明显，处于加快转型的新阶段，以多式联运、供应链、云仓、线上线下融合平台经济的物流新模式、新业态不断涌现，展现出前所未有的爆发潜力。</w:t>
      </w:r>
    </w:p>
    <w:p w14:paraId="21F8ABE7">
      <w:pPr>
        <w:keepNext w:val="0"/>
        <w:keepLines w:val="0"/>
        <w:pageBreakBefore w:val="0"/>
        <w:numPr>
          <w:ilvl w:val="0"/>
          <w:numId w:val="0"/>
        </w:numPr>
        <w:kinsoku/>
        <w:wordWrap/>
        <w:overflowPunct/>
        <w:topLinePunct w:val="0"/>
        <w:autoSpaceDE/>
        <w:autoSpaceDN/>
        <w:bidi w:val="0"/>
        <w:adjustRightInd/>
        <w:snapToGrid/>
        <w:spacing w:line="520" w:lineRule="exact"/>
        <w:ind w:left="0" w:leftChars="0" w:right="0" w:rightChars="0" w:firstLine="640"/>
        <w:textAlignment w:val="auto"/>
        <w:rPr>
          <w:rFonts w:hint="eastAsia" w:ascii="仿宋" w:hAnsi="仿宋" w:eastAsia="仿宋" w:cs="仿宋"/>
          <w:color w:val="auto"/>
          <w:kern w:val="2"/>
          <w:sz w:val="32"/>
          <w:szCs w:val="32"/>
          <w:lang w:val="en-US" w:eastAsia="zh-CN"/>
        </w:rPr>
      </w:pPr>
      <w:r>
        <w:rPr>
          <w:rFonts w:hint="eastAsia" w:ascii="楷体" w:hAnsi="楷体" w:eastAsia="楷体" w:cs="楷体"/>
          <w:color w:val="auto"/>
          <w:kern w:val="2"/>
          <w:sz w:val="32"/>
          <w:szCs w:val="32"/>
          <w:lang w:val="en-US" w:eastAsia="zh-CN"/>
        </w:rPr>
        <w:t>（二）运力指标情况。</w:t>
      </w:r>
      <w:r>
        <w:rPr>
          <w:rFonts w:hint="eastAsia" w:ascii="仿宋" w:hAnsi="仿宋" w:eastAsia="仿宋" w:cs="仿宋"/>
          <w:color w:val="auto"/>
          <w:kern w:val="2"/>
          <w:sz w:val="32"/>
          <w:szCs w:val="32"/>
          <w:lang w:val="en-US" w:eastAsia="zh-CN"/>
        </w:rPr>
        <w:t>全区共有货运车辆2.6万多台，运力23.45万吨，平均每吨位年营业收入为1.47万元。全区运输船舶150多艘，运力6万多吨。我区公路运输车辆种类齐全，数量较多，服务能力突出，铁路运输潜力巨大，水运、航空运输有待强化，</w:t>
      </w:r>
      <w:r>
        <w:rPr>
          <w:rFonts w:hint="eastAsia" w:ascii="仿宋" w:hAnsi="仿宋" w:eastAsia="仿宋" w:cs="仿宋"/>
          <w:sz w:val="32"/>
          <w:szCs w:val="32"/>
          <w:lang w:val="en-US" w:eastAsia="zh-CN"/>
        </w:rPr>
        <w:t>公路运输量占比90%以上</w:t>
      </w:r>
      <w:r>
        <w:rPr>
          <w:rFonts w:hint="eastAsia" w:ascii="仿宋" w:hAnsi="仿宋" w:eastAsia="仿宋" w:cs="仿宋"/>
          <w:color w:val="auto"/>
          <w:kern w:val="2"/>
          <w:sz w:val="32"/>
          <w:szCs w:val="32"/>
          <w:lang w:val="en-US" w:eastAsia="zh-CN"/>
        </w:rPr>
        <w:t>。</w:t>
      </w:r>
    </w:p>
    <w:p w14:paraId="439A02FD">
      <w:pPr>
        <w:keepNext w:val="0"/>
        <w:keepLines w:val="0"/>
        <w:pageBreakBefore w:val="0"/>
        <w:kinsoku/>
        <w:wordWrap/>
        <w:overflowPunct/>
        <w:topLinePunct w:val="0"/>
        <w:autoSpaceDE/>
        <w:autoSpaceDN/>
        <w:bidi w:val="0"/>
        <w:adjustRightInd/>
        <w:snapToGrid/>
        <w:spacing w:line="520" w:lineRule="exact"/>
        <w:ind w:left="0" w:leftChars="0" w:right="0" w:rightChars="0"/>
        <w:textAlignment w:val="auto"/>
        <w:outlineLvl w:val="9"/>
        <w:rPr>
          <w:rFonts w:hint="eastAsia" w:ascii="仿宋" w:hAnsi="仿宋" w:eastAsia="仿宋" w:cs="仿宋"/>
          <w:color w:val="auto"/>
          <w:kern w:val="2"/>
          <w:sz w:val="32"/>
          <w:szCs w:val="32"/>
          <w:lang w:val="en-US" w:eastAsia="zh-CN"/>
        </w:rPr>
      </w:pPr>
      <w:r>
        <w:rPr>
          <w:rFonts w:hint="eastAsia" w:ascii="仿宋" w:hAnsi="仿宋" w:eastAsia="仿宋" w:cs="仿宋"/>
          <w:sz w:val="32"/>
          <w:szCs w:val="32"/>
          <w:lang w:val="en-US" w:eastAsia="zh-CN"/>
        </w:rPr>
        <w:t xml:space="preserve">    </w:t>
      </w:r>
      <w:r>
        <w:rPr>
          <w:rFonts w:hint="eastAsia" w:ascii="楷体" w:hAnsi="楷体" w:eastAsia="楷体" w:cs="楷体"/>
          <w:sz w:val="32"/>
          <w:szCs w:val="32"/>
          <w:lang w:val="en-US" w:eastAsia="zh-CN"/>
        </w:rPr>
        <w:t>（三）物流运价情况。</w:t>
      </w:r>
      <w:r>
        <w:rPr>
          <w:rFonts w:hint="eastAsia" w:ascii="仿宋" w:hAnsi="仿宋" w:eastAsia="仿宋" w:cs="仿宋"/>
          <w:sz w:val="32"/>
          <w:szCs w:val="32"/>
          <w:lang w:val="en-US" w:eastAsia="zh-CN"/>
        </w:rPr>
        <w:t>襄州区具备开展公、铁、水综合物流服务能力，且常年运价平稳。公路物流运价为0.5元/吨/公里左右,水路物流运价为 0.15元/吨/公里左右, 铁路物流运价为 0.35元/吨/公里左右。</w:t>
      </w:r>
    </w:p>
    <w:p w14:paraId="6C024184">
      <w:pPr>
        <w:keepNext w:val="0"/>
        <w:keepLines w:val="0"/>
        <w:pageBreakBefore w:val="0"/>
        <w:kinsoku/>
        <w:wordWrap/>
        <w:overflowPunct/>
        <w:topLinePunct w:val="0"/>
        <w:autoSpaceDE/>
        <w:autoSpaceDN/>
        <w:bidi w:val="0"/>
        <w:adjustRightInd/>
        <w:snapToGrid/>
        <w:spacing w:line="520" w:lineRule="exact"/>
        <w:ind w:left="0" w:leftChars="0" w:right="0" w:rightChars="0" w:firstLine="640" w:firstLineChars="200"/>
        <w:textAlignment w:val="auto"/>
        <w:outlineLvl w:val="9"/>
        <w:rPr>
          <w:rFonts w:hint="eastAsia" w:ascii="黑体" w:hAnsi="黑体" w:eastAsia="黑体" w:cs="黑体"/>
          <w:color w:val="auto"/>
          <w:kern w:val="2"/>
          <w:sz w:val="32"/>
          <w:szCs w:val="32"/>
          <w:lang w:val="en-US" w:eastAsia="zh-CN"/>
        </w:rPr>
      </w:pPr>
      <w:r>
        <w:rPr>
          <w:rFonts w:hint="eastAsia" w:ascii="楷体" w:hAnsi="楷体" w:eastAsia="楷体" w:cs="楷体"/>
          <w:color w:val="auto"/>
          <w:kern w:val="2"/>
          <w:sz w:val="32"/>
          <w:szCs w:val="32"/>
          <w:lang w:val="en-US" w:eastAsia="zh-CN"/>
        </w:rPr>
        <w:t>（四）物流企业情况。</w:t>
      </w:r>
      <w:r>
        <w:rPr>
          <w:rFonts w:hint="eastAsia" w:ascii="仿宋" w:hAnsi="仿宋" w:eastAsia="仿宋" w:cs="仿宋"/>
          <w:sz w:val="32"/>
          <w:szCs w:val="32"/>
          <w:lang w:val="zh-CN"/>
        </w:rPr>
        <w:t>我区现有大、中、小型物流企业</w:t>
      </w:r>
      <w:r>
        <w:rPr>
          <w:rFonts w:hint="eastAsia" w:ascii="仿宋" w:hAnsi="仿宋" w:eastAsia="仿宋" w:cs="仿宋"/>
          <w:sz w:val="32"/>
          <w:szCs w:val="32"/>
          <w:lang w:val="en-US" w:eastAsia="zh-CN"/>
        </w:rPr>
        <w:t>260多</w:t>
      </w:r>
      <w:r>
        <w:rPr>
          <w:rFonts w:hint="eastAsia" w:ascii="仿宋" w:hAnsi="仿宋" w:eastAsia="仿宋" w:cs="仿宋"/>
          <w:sz w:val="32"/>
          <w:szCs w:val="32"/>
          <w:lang w:val="zh-CN"/>
        </w:rPr>
        <w:t>家。其中，综合、园区类物流企业</w:t>
      </w:r>
      <w:r>
        <w:rPr>
          <w:rFonts w:hint="eastAsia" w:ascii="仿宋" w:hAnsi="仿宋" w:eastAsia="仿宋" w:cs="仿宋"/>
          <w:sz w:val="32"/>
          <w:szCs w:val="32"/>
          <w:lang w:val="en-US" w:eastAsia="zh-CN"/>
        </w:rPr>
        <w:t>6</w:t>
      </w:r>
      <w:r>
        <w:rPr>
          <w:rFonts w:hint="eastAsia" w:ascii="仿宋" w:hAnsi="仿宋" w:eastAsia="仿宋" w:cs="仿宋"/>
          <w:sz w:val="32"/>
          <w:szCs w:val="32"/>
          <w:lang w:val="zh-CN"/>
        </w:rPr>
        <w:t>家，仓储类物流企业</w:t>
      </w:r>
      <w:r>
        <w:rPr>
          <w:rFonts w:hint="eastAsia" w:ascii="仿宋" w:hAnsi="仿宋" w:eastAsia="仿宋" w:cs="仿宋"/>
          <w:sz w:val="32"/>
          <w:szCs w:val="32"/>
          <w:lang w:val="en-US" w:eastAsia="zh-CN"/>
        </w:rPr>
        <w:t>30</w:t>
      </w:r>
      <w:r>
        <w:rPr>
          <w:rFonts w:hint="eastAsia" w:ascii="仿宋" w:hAnsi="仿宋" w:eastAsia="仿宋" w:cs="仿宋"/>
          <w:sz w:val="32"/>
          <w:szCs w:val="32"/>
          <w:lang w:val="zh-CN"/>
        </w:rPr>
        <w:t>家，运输类物流企业</w:t>
      </w:r>
      <w:r>
        <w:rPr>
          <w:rFonts w:hint="eastAsia" w:ascii="仿宋" w:hAnsi="仿宋" w:eastAsia="仿宋" w:cs="仿宋"/>
          <w:sz w:val="32"/>
          <w:szCs w:val="32"/>
          <w:lang w:val="en-US" w:eastAsia="zh-CN"/>
        </w:rPr>
        <w:t>87</w:t>
      </w:r>
      <w:r>
        <w:rPr>
          <w:rFonts w:hint="eastAsia" w:ascii="仿宋" w:hAnsi="仿宋" w:eastAsia="仿宋" w:cs="仿宋"/>
          <w:sz w:val="32"/>
          <w:szCs w:val="32"/>
          <w:lang w:val="zh-CN"/>
        </w:rPr>
        <w:t>家，包装、加工、配送类物流企业</w:t>
      </w:r>
      <w:r>
        <w:rPr>
          <w:rFonts w:hint="eastAsia" w:ascii="仿宋" w:hAnsi="仿宋" w:eastAsia="仿宋" w:cs="仿宋"/>
          <w:sz w:val="32"/>
          <w:szCs w:val="32"/>
          <w:lang w:val="en-US" w:eastAsia="zh-CN"/>
        </w:rPr>
        <w:t>30家，</w:t>
      </w:r>
      <w:r>
        <w:rPr>
          <w:rFonts w:hint="eastAsia" w:ascii="仿宋" w:hAnsi="仿宋" w:eastAsia="仿宋" w:cs="仿宋"/>
          <w:sz w:val="32"/>
          <w:szCs w:val="32"/>
          <w:lang w:val="zh-CN" w:eastAsia="zh-CN"/>
        </w:rPr>
        <w:t>货代</w:t>
      </w:r>
      <w:r>
        <w:rPr>
          <w:rFonts w:hint="eastAsia" w:ascii="仿宋" w:hAnsi="仿宋" w:eastAsia="仿宋" w:cs="仿宋"/>
          <w:sz w:val="32"/>
          <w:szCs w:val="32"/>
          <w:lang w:val="zh-CN"/>
        </w:rPr>
        <w:t>类物流企业</w:t>
      </w:r>
      <w:r>
        <w:rPr>
          <w:rFonts w:hint="eastAsia" w:ascii="仿宋" w:hAnsi="仿宋" w:eastAsia="仿宋" w:cs="仿宋"/>
          <w:sz w:val="32"/>
          <w:szCs w:val="32"/>
          <w:lang w:val="en-US" w:eastAsia="zh-CN"/>
        </w:rPr>
        <w:t>97</w:t>
      </w:r>
      <w:r>
        <w:rPr>
          <w:rFonts w:hint="eastAsia" w:ascii="仿宋" w:hAnsi="仿宋" w:eastAsia="仿宋" w:cs="仿宋"/>
          <w:sz w:val="32"/>
          <w:szCs w:val="32"/>
          <w:lang w:val="zh-CN"/>
        </w:rPr>
        <w:t>家。截至</w:t>
      </w:r>
      <w:r>
        <w:rPr>
          <w:rFonts w:hint="eastAsia" w:ascii="仿宋" w:hAnsi="仿宋" w:eastAsia="仿宋" w:cs="仿宋"/>
          <w:sz w:val="32"/>
          <w:szCs w:val="32"/>
          <w:lang w:val="en-US" w:eastAsia="zh-CN"/>
        </w:rPr>
        <w:t>2020年底，5A级物流企业2家，</w:t>
      </w:r>
      <w:r>
        <w:rPr>
          <w:rFonts w:hint="eastAsia" w:ascii="仿宋" w:hAnsi="仿宋" w:eastAsia="仿宋" w:cs="仿宋"/>
          <w:sz w:val="32"/>
          <w:szCs w:val="32"/>
          <w:lang w:val="zh-CN"/>
        </w:rPr>
        <w:t>4A级企业</w:t>
      </w:r>
      <w:r>
        <w:rPr>
          <w:rFonts w:hint="eastAsia" w:ascii="仿宋" w:hAnsi="仿宋" w:eastAsia="仿宋" w:cs="仿宋"/>
          <w:sz w:val="32"/>
          <w:szCs w:val="32"/>
          <w:lang w:val="en-US" w:eastAsia="zh-CN"/>
        </w:rPr>
        <w:t>18</w:t>
      </w:r>
      <w:r>
        <w:rPr>
          <w:rFonts w:hint="eastAsia" w:ascii="仿宋" w:hAnsi="仿宋" w:eastAsia="仿宋" w:cs="仿宋"/>
          <w:sz w:val="32"/>
          <w:szCs w:val="32"/>
          <w:lang w:val="zh-CN"/>
        </w:rPr>
        <w:t>家，3A级企业</w:t>
      </w:r>
      <w:r>
        <w:rPr>
          <w:rFonts w:hint="eastAsia" w:ascii="仿宋" w:hAnsi="仿宋" w:eastAsia="仿宋" w:cs="仿宋"/>
          <w:sz w:val="32"/>
          <w:szCs w:val="32"/>
          <w:lang w:val="en-US" w:eastAsia="zh-CN"/>
        </w:rPr>
        <w:t>23</w:t>
      </w:r>
      <w:r>
        <w:rPr>
          <w:rFonts w:hint="eastAsia" w:ascii="仿宋" w:hAnsi="仿宋" w:eastAsia="仿宋" w:cs="仿宋"/>
          <w:sz w:val="32"/>
          <w:szCs w:val="32"/>
          <w:lang w:val="zh-CN"/>
        </w:rPr>
        <w:t>家，2A级企业</w:t>
      </w:r>
      <w:r>
        <w:rPr>
          <w:rFonts w:hint="eastAsia" w:ascii="仿宋" w:hAnsi="仿宋" w:eastAsia="仿宋" w:cs="仿宋"/>
          <w:sz w:val="32"/>
          <w:szCs w:val="32"/>
          <w:lang w:val="en-US" w:eastAsia="zh-CN"/>
        </w:rPr>
        <w:t>1</w:t>
      </w:r>
      <w:r>
        <w:rPr>
          <w:rFonts w:hint="eastAsia" w:ascii="仿宋" w:hAnsi="仿宋" w:eastAsia="仿宋" w:cs="仿宋"/>
          <w:sz w:val="32"/>
          <w:szCs w:val="32"/>
          <w:lang w:val="zh-CN"/>
        </w:rPr>
        <w:t>家，共计</w:t>
      </w:r>
      <w:r>
        <w:rPr>
          <w:rFonts w:hint="eastAsia" w:ascii="仿宋" w:hAnsi="仿宋" w:eastAsia="仿宋" w:cs="仿宋"/>
          <w:sz w:val="32"/>
          <w:szCs w:val="32"/>
          <w:lang w:val="en-US" w:eastAsia="zh-CN"/>
        </w:rPr>
        <w:t>44家</w:t>
      </w:r>
      <w:r>
        <w:rPr>
          <w:rFonts w:hint="eastAsia" w:ascii="仿宋" w:hAnsi="仿宋" w:eastAsia="仿宋" w:cs="仿宋"/>
          <w:sz w:val="32"/>
          <w:szCs w:val="32"/>
          <w:lang w:val="zh-CN"/>
        </w:rPr>
        <w:t>。</w:t>
      </w:r>
      <w:r>
        <w:rPr>
          <w:rFonts w:hint="eastAsia" w:ascii="仿宋" w:hAnsi="仿宋" w:eastAsia="仿宋" w:cs="仿宋"/>
          <w:sz w:val="32"/>
          <w:szCs w:val="32"/>
          <w:lang w:val="en-US" w:eastAsia="zh-CN"/>
        </w:rPr>
        <w:t>全省重点物流企业19家。物流企业中，年物流产值在1亿元以上的企业占3 %，3000万元至1亿元的企业占10 %，1000万至3000万元的企业占20%，1000万元以下的企业占67 %。</w:t>
      </w:r>
    </w:p>
    <w:p w14:paraId="7360CFDA">
      <w:pPr>
        <w:keepNext w:val="0"/>
        <w:keepLines w:val="0"/>
        <w:pageBreakBefore w:val="0"/>
        <w:numPr>
          <w:ilvl w:val="0"/>
          <w:numId w:val="0"/>
        </w:numPr>
        <w:kinsoku/>
        <w:wordWrap/>
        <w:overflowPunct/>
        <w:topLinePunct w:val="0"/>
        <w:autoSpaceDE/>
        <w:autoSpaceDN/>
        <w:bidi w:val="0"/>
        <w:adjustRightInd/>
        <w:snapToGrid/>
        <w:spacing w:line="520" w:lineRule="exact"/>
        <w:ind w:left="0" w:leftChars="0" w:right="0" w:rightChars="0"/>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color w:val="auto"/>
          <w:kern w:val="2"/>
          <w:sz w:val="32"/>
          <w:szCs w:val="32"/>
          <w:lang w:val="en-US" w:eastAsia="zh-CN"/>
        </w:rPr>
        <w:t xml:space="preserve">    </w:t>
      </w:r>
      <w:r>
        <w:rPr>
          <w:rFonts w:hint="eastAsia" w:ascii="楷体" w:hAnsi="楷体" w:eastAsia="楷体" w:cs="楷体"/>
          <w:color w:val="auto"/>
          <w:kern w:val="2"/>
          <w:sz w:val="32"/>
          <w:szCs w:val="32"/>
          <w:lang w:val="en-US" w:eastAsia="zh-CN"/>
        </w:rPr>
        <w:t>（五）物流站场与基础设施情况。</w:t>
      </w:r>
    </w:p>
    <w:p w14:paraId="49DCF7DE">
      <w:pPr>
        <w:keepNext w:val="0"/>
        <w:keepLines w:val="0"/>
        <w:pageBreakBefore w:val="0"/>
        <w:kinsoku/>
        <w:wordWrap/>
        <w:overflowPunct/>
        <w:topLinePunct w:val="0"/>
        <w:autoSpaceDE/>
        <w:autoSpaceDN/>
        <w:bidi w:val="0"/>
        <w:adjustRightInd/>
        <w:snapToGrid/>
        <w:spacing w:line="520" w:lineRule="exact"/>
        <w:ind w:left="0" w:leftChars="0" w:right="0" w:rightChars="0"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全区现有基本建成的物流站场项目有：襄阳（光彩）汽车产业物流园、东风合运物流园、本昌物流园、乾通物流配送中心、国储公铁联运物流园、四季青物流园、新发地百应物流园、赵寨砂石集并中心。现有较大国有仓储基地有：肖湾烟草库、襄州粮食储备耿坡库、肖湾库、郜营库、襄阳东粮储库、省粮储张家集库。较大涉农仓储设施企业有：正大、鲁花、丰庆源、康福达冷库、四季青冷库、元大、</w:t>
      </w:r>
      <w:r>
        <w:rPr>
          <w:rFonts w:hint="eastAsia" w:ascii="仿宋" w:hAnsi="仿宋" w:eastAsia="仿宋" w:cs="仿宋"/>
          <w:sz w:val="32"/>
          <w:szCs w:val="32"/>
          <w:lang w:eastAsia="zh-CN"/>
        </w:rPr>
        <w:t>乐峰、鑫宇、三珍、顺科、丰盛杰等。医药仓储设施企业有：民康和国药，农资仓储及配送企业有：正英农资、农家富。拥有仓储设施的商贸企业有：光彩建材城、新世纪建材城、国邦家世界、新发地农批城、五洲国际博览城。</w:t>
      </w:r>
      <w:r>
        <w:rPr>
          <w:rFonts w:hint="eastAsia" w:ascii="仿宋" w:hAnsi="仿宋" w:eastAsia="仿宋" w:cs="仿宋"/>
          <w:sz w:val="32"/>
          <w:szCs w:val="32"/>
          <w:lang w:val="en-US" w:eastAsia="zh-CN"/>
        </w:rPr>
        <w:t>在建项目有：浩吉襄州北疏运基地、捷顺达物流园、中车物流园。已确定拟建项目有：韵达物流产业园、际华纺织供应链中心、京东亚洲一号物流中心、唐白河赵寨港区。策划项目有：浩吉物流小镇范围内的襄阳（襄州）陆地港、国储物流园外迁项目、新发地冷链配送中心。</w:t>
      </w:r>
    </w:p>
    <w:p w14:paraId="0FB4D10A">
      <w:pPr>
        <w:pStyle w:val="2"/>
        <w:keepNext w:val="0"/>
        <w:keepLines w:val="0"/>
        <w:pageBreakBefore w:val="0"/>
        <w:kinsoku/>
        <w:wordWrap/>
        <w:overflowPunct/>
        <w:topLinePunct w:val="0"/>
        <w:autoSpaceDE/>
        <w:autoSpaceDN/>
        <w:bidi w:val="0"/>
        <w:adjustRightInd/>
        <w:snapToGrid/>
        <w:spacing w:line="520" w:lineRule="exact"/>
        <w:ind w:left="0" w:leftChars="0" w:firstLine="0" w:firstLineChars="0"/>
        <w:rPr>
          <w:rFonts w:hint="default"/>
          <w:lang w:val="en-US" w:eastAsia="zh-CN"/>
        </w:rPr>
      </w:pPr>
      <w:r>
        <w:rPr>
          <w:rFonts w:hint="eastAsia" w:ascii="仿宋" w:hAnsi="仿宋" w:eastAsia="仿宋" w:cs="仿宋"/>
          <w:sz w:val="32"/>
          <w:szCs w:val="32"/>
          <w:lang w:val="en-US" w:eastAsia="zh-CN"/>
        </w:rPr>
        <w:t xml:space="preserve">    在工业物流领域，物流总额仅次于高新区排名第二。在商贸物流领域，建材批发和电商等细分类型突出，物流总额领先全市各县市区。在涉农物流领域，粮食、农资、流通加工等方面物流总额处于全市各县市前列。</w:t>
      </w:r>
    </w:p>
    <w:p w14:paraId="528EEBC6">
      <w:pPr>
        <w:keepNext w:val="0"/>
        <w:keepLines w:val="0"/>
        <w:pageBreakBefore w:val="0"/>
        <w:kinsoku/>
        <w:wordWrap/>
        <w:overflowPunct/>
        <w:topLinePunct w:val="0"/>
        <w:autoSpaceDE/>
        <w:autoSpaceDN/>
        <w:bidi w:val="0"/>
        <w:adjustRightInd/>
        <w:snapToGrid/>
        <w:spacing w:line="520" w:lineRule="exact"/>
        <w:ind w:left="0" w:leftChars="0" w:right="0" w:rightChars="0"/>
        <w:textAlignment w:val="auto"/>
        <w:rPr>
          <w:rFonts w:hint="eastAsia" w:ascii="仿宋" w:hAnsi="仿宋" w:eastAsia="仿宋" w:cs="仿宋"/>
          <w:color w:val="auto"/>
          <w:kern w:val="2"/>
          <w:sz w:val="32"/>
          <w:szCs w:val="32"/>
          <w:lang w:val="en-US" w:eastAsia="zh-CN"/>
        </w:rPr>
      </w:pPr>
      <w:r>
        <w:rPr>
          <w:rFonts w:hint="eastAsia" w:ascii="仿宋" w:hAnsi="仿宋" w:eastAsia="仿宋" w:cs="仿宋"/>
          <w:sz w:val="32"/>
          <w:szCs w:val="32"/>
          <w:lang w:val="en-US" w:eastAsia="zh-CN"/>
        </w:rPr>
        <w:t xml:space="preserve">    物流项目建设呈现综合性物流园与专业化物流园（中心）协调发展格局，特别是基于多式联运、智能化仓配、快递快运分拨配送、农产品和汽车相关产品的存储、包装、配送的专业化物流项目成为主要发展方向。</w:t>
      </w:r>
    </w:p>
    <w:p w14:paraId="6871F46B">
      <w:pPr>
        <w:keepNext w:val="0"/>
        <w:keepLines w:val="0"/>
        <w:pageBreakBefore w:val="0"/>
        <w:kinsoku/>
        <w:wordWrap/>
        <w:overflowPunct/>
        <w:topLinePunct w:val="0"/>
        <w:autoSpaceDE/>
        <w:autoSpaceDN/>
        <w:bidi w:val="0"/>
        <w:adjustRightInd/>
        <w:snapToGrid/>
        <w:spacing w:line="520" w:lineRule="exact"/>
        <w:ind w:left="0" w:leftChars="0" w:right="0" w:rightChars="0" w:firstLine="640"/>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三、近年来</w:t>
      </w:r>
      <w:r>
        <w:rPr>
          <w:rFonts w:hint="eastAsia" w:ascii="黑体" w:hAnsi="黑体" w:eastAsia="黑体" w:cs="黑体"/>
          <w:sz w:val="32"/>
          <w:szCs w:val="32"/>
          <w:lang w:val="en-US" w:eastAsia="zh-CN"/>
        </w:rPr>
        <w:t>主要工作措施</w:t>
      </w:r>
    </w:p>
    <w:p w14:paraId="1409C610">
      <w:pPr>
        <w:pStyle w:val="7"/>
        <w:keepNext w:val="0"/>
        <w:keepLines w:val="0"/>
        <w:pageBreakBefore w:val="0"/>
        <w:widowControl/>
        <w:numPr>
          <w:ilvl w:val="0"/>
          <w:numId w:val="0"/>
        </w:numPr>
        <w:suppressLineNumbers w:val="0"/>
        <w:kinsoku/>
        <w:wordWrap/>
        <w:overflowPunct/>
        <w:topLinePunct w:val="0"/>
        <w:autoSpaceDE/>
        <w:autoSpaceDN/>
        <w:bidi w:val="0"/>
        <w:adjustRightInd/>
        <w:snapToGrid/>
        <w:spacing w:before="0" w:after="0" w:line="520" w:lineRule="exact"/>
        <w:ind w:right="0" w:rightChars="0" w:firstLine="640" w:firstLineChars="200"/>
        <w:jc w:val="both"/>
        <w:textAlignment w:val="auto"/>
        <w:outlineLvl w:val="9"/>
        <w:rPr>
          <w:rFonts w:hint="eastAsia" w:ascii="仿宋" w:hAnsi="仿宋" w:eastAsia="仿宋" w:cs="仿宋"/>
          <w:sz w:val="32"/>
          <w:szCs w:val="32"/>
          <w:lang w:val="en-US" w:eastAsia="zh-CN"/>
        </w:rPr>
      </w:pPr>
      <w:r>
        <w:rPr>
          <w:rFonts w:hint="eastAsia" w:ascii="楷体" w:hAnsi="楷体" w:eastAsia="楷体" w:cs="楷体"/>
          <w:sz w:val="32"/>
          <w:szCs w:val="32"/>
          <w:lang w:val="en-US" w:eastAsia="zh-CN"/>
        </w:rPr>
        <w:t>（一）研究落实产业规划。</w:t>
      </w:r>
      <w:r>
        <w:rPr>
          <w:rFonts w:hint="eastAsia" w:ascii="仿宋" w:hAnsi="仿宋" w:eastAsia="仿宋" w:cs="仿宋"/>
          <w:sz w:val="32"/>
          <w:szCs w:val="32"/>
          <w:lang w:val="en-US" w:eastAsia="zh-CN"/>
        </w:rPr>
        <w:t>襄州物流发展以全市“十四五”现代物流发展规划为指导，结合实际落实。襄阳北已形成以快递快运、汽车物流、长途运输为特色的集聚区，襄阳东正在形成以农产品仓配、冷冻冷藏、花生供应链为特色的集聚区。浩吉铁路襄州北物流集聚区、襄州站北部物流集聚区也正在逐步形成。</w:t>
      </w:r>
    </w:p>
    <w:p w14:paraId="67CC61EC">
      <w:pPr>
        <w:pStyle w:val="7"/>
        <w:keepNext w:val="0"/>
        <w:keepLines w:val="0"/>
        <w:pageBreakBefore w:val="0"/>
        <w:widowControl/>
        <w:numPr>
          <w:ilvl w:val="0"/>
          <w:numId w:val="0"/>
        </w:numPr>
        <w:suppressLineNumbers w:val="0"/>
        <w:kinsoku/>
        <w:wordWrap/>
        <w:overflowPunct/>
        <w:topLinePunct w:val="0"/>
        <w:autoSpaceDE/>
        <w:autoSpaceDN/>
        <w:bidi w:val="0"/>
        <w:adjustRightInd/>
        <w:snapToGrid/>
        <w:spacing w:before="0" w:after="0" w:line="520" w:lineRule="exact"/>
        <w:ind w:right="0" w:rightChars="0" w:firstLine="640" w:firstLineChars="200"/>
        <w:jc w:val="both"/>
        <w:textAlignment w:val="auto"/>
        <w:outlineLvl w:val="9"/>
        <w:rPr>
          <w:rFonts w:hint="default" w:eastAsia="仿宋_GB2312"/>
          <w:sz w:val="32"/>
          <w:szCs w:val="32"/>
          <w:lang w:val="en-US" w:eastAsia="zh-CN"/>
        </w:rPr>
      </w:pPr>
      <w:r>
        <w:rPr>
          <w:rFonts w:hint="eastAsia" w:ascii="楷体" w:hAnsi="楷体" w:eastAsia="楷体" w:cs="楷体"/>
          <w:sz w:val="32"/>
          <w:szCs w:val="32"/>
          <w:lang w:val="en-US" w:eastAsia="zh-CN"/>
        </w:rPr>
        <w:t>（二）</w:t>
      </w:r>
      <w:r>
        <w:rPr>
          <w:rFonts w:hint="eastAsia" w:ascii="楷体_GB2312" w:eastAsia="楷体_GB2312"/>
          <w:sz w:val="32"/>
          <w:szCs w:val="32"/>
        </w:rPr>
        <w:t>积极争取扶持政策。</w:t>
      </w:r>
      <w:r>
        <w:rPr>
          <w:rFonts w:eastAsia="仿宋_GB2312"/>
          <w:sz w:val="32"/>
          <w:szCs w:val="32"/>
        </w:rPr>
        <w:t>为进一步加快襄州</w:t>
      </w:r>
      <w:r>
        <w:rPr>
          <w:rFonts w:hint="eastAsia" w:eastAsia="仿宋_GB2312"/>
          <w:sz w:val="32"/>
          <w:szCs w:val="32"/>
          <w:lang w:eastAsia="zh-CN"/>
        </w:rPr>
        <w:t>现代物流</w:t>
      </w:r>
      <w:r>
        <w:rPr>
          <w:rFonts w:eastAsia="仿宋_GB2312"/>
          <w:sz w:val="32"/>
          <w:szCs w:val="32"/>
        </w:rPr>
        <w:t>业发展，</w:t>
      </w:r>
      <w:r>
        <w:rPr>
          <w:rFonts w:hint="eastAsia" w:eastAsia="仿宋_GB2312"/>
          <w:sz w:val="32"/>
          <w:szCs w:val="32"/>
        </w:rPr>
        <w:t>襄州区委、区政府</w:t>
      </w:r>
      <w:r>
        <w:rPr>
          <w:rFonts w:hint="eastAsia" w:eastAsia="仿宋_GB2312"/>
          <w:sz w:val="32"/>
          <w:szCs w:val="32"/>
          <w:lang w:eastAsia="zh-CN"/>
        </w:rPr>
        <w:t>在全市率先</w:t>
      </w:r>
      <w:r>
        <w:rPr>
          <w:rFonts w:eastAsia="仿宋_GB2312"/>
          <w:sz w:val="32"/>
          <w:szCs w:val="32"/>
        </w:rPr>
        <w:t>出台了《关于突破性发展生产性服务业的意见》，</w:t>
      </w:r>
      <w:r>
        <w:rPr>
          <w:rFonts w:hint="eastAsia" w:eastAsia="仿宋_GB2312"/>
          <w:sz w:val="32"/>
          <w:szCs w:val="32"/>
        </w:rPr>
        <w:t>从财政、土地、税收、金融、环境等五个方面提出了促进现代物流业的扶持政策</w:t>
      </w:r>
      <w:r>
        <w:rPr>
          <w:rFonts w:hint="eastAsia" w:eastAsia="仿宋_GB2312"/>
          <w:sz w:val="32"/>
          <w:szCs w:val="32"/>
          <w:lang w:eastAsia="zh-CN"/>
        </w:rPr>
        <w:t>。</w:t>
      </w:r>
      <w:r>
        <w:rPr>
          <w:rFonts w:hint="eastAsia" w:ascii="仿宋" w:hAnsi="仿宋" w:eastAsia="仿宋" w:cs="仿宋"/>
          <w:b w:val="0"/>
          <w:bCs w:val="0"/>
          <w:sz w:val="32"/>
          <w:szCs w:val="32"/>
          <w:lang w:val="en-US" w:eastAsia="zh-CN"/>
        </w:rPr>
        <w:t>设立1000万元现代物流业发展专项基金，对3A级以上企业一次性奖励标准分别提高到20、30、40万元，之后每晋升一个等级奖励10万元，新命名“省级重点物流企业”一次性奖励10万元，对按标准新建成运营的镇级综合服务站每个奖励5万元，对物流企业上缴增值税财政贡献部分视不同额度标准分别给予30%、40%、50%的奖励。多年来，我区支持兑现奖励物流企业的资金在500万元以上，更好的支持物流产业健康发展。该支持政策于2023年废止。</w:t>
      </w:r>
    </w:p>
    <w:p w14:paraId="1D00BD62">
      <w:pPr>
        <w:keepNext w:val="0"/>
        <w:keepLines w:val="0"/>
        <w:pageBreakBefore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 w:hAnsi="仿宋" w:eastAsia="仿宋" w:cs="仿宋"/>
          <w:sz w:val="32"/>
          <w:szCs w:val="32"/>
          <w:lang w:eastAsia="zh-CN"/>
        </w:rPr>
      </w:pPr>
      <w:r>
        <w:rPr>
          <w:rFonts w:hint="eastAsia" w:ascii="楷体" w:hAnsi="楷体" w:eastAsia="楷体" w:cs="楷体"/>
          <w:sz w:val="32"/>
          <w:szCs w:val="32"/>
          <w:lang w:val="en-US" w:eastAsia="zh-CN"/>
        </w:rPr>
        <w:t>（二）立足项目做好</w:t>
      </w:r>
      <w:r>
        <w:rPr>
          <w:rFonts w:hint="eastAsia" w:ascii="楷体" w:hAnsi="楷体" w:eastAsia="楷体" w:cs="楷体"/>
          <w:sz w:val="32"/>
          <w:szCs w:val="32"/>
          <w:lang w:eastAsia="zh-CN"/>
        </w:rPr>
        <w:t>政策引导</w:t>
      </w:r>
      <w:r>
        <w:rPr>
          <w:rFonts w:hint="eastAsia" w:ascii="楷体" w:hAnsi="楷体" w:eastAsia="楷体" w:cs="楷体"/>
          <w:sz w:val="32"/>
          <w:szCs w:val="32"/>
        </w:rPr>
        <w:t>。</w:t>
      </w:r>
      <w:r>
        <w:rPr>
          <w:rFonts w:hint="eastAsia" w:ascii="仿宋_GB2312" w:hAnsi="仿宋_GB2312" w:eastAsia="仿宋_GB2312" w:cs="仿宋_GB2312"/>
          <w:sz w:val="32"/>
          <w:szCs w:val="32"/>
        </w:rPr>
        <w:t>一是</w:t>
      </w:r>
      <w:r>
        <w:rPr>
          <w:rFonts w:hint="eastAsia" w:ascii="仿宋_GB2312" w:hAnsi="仿宋_GB2312" w:eastAsia="仿宋_GB2312" w:cs="仿宋_GB2312"/>
          <w:sz w:val="32"/>
          <w:szCs w:val="32"/>
          <w:lang w:eastAsia="zh-CN"/>
        </w:rPr>
        <w:t>组织企业参与</w:t>
      </w:r>
      <w:r>
        <w:rPr>
          <w:rFonts w:hint="eastAsia" w:ascii="仿宋_GB2312" w:hAnsi="仿宋_GB2312" w:eastAsia="仿宋_GB2312" w:cs="仿宋_GB2312"/>
          <w:sz w:val="32"/>
          <w:szCs w:val="32"/>
        </w:rPr>
        <w:t>全省交通物流项目竞争性分配资金</w:t>
      </w:r>
      <w:r>
        <w:rPr>
          <w:rFonts w:hint="eastAsia" w:ascii="仿宋_GB2312" w:hAnsi="仿宋_GB2312" w:eastAsia="仿宋_GB2312" w:cs="仿宋_GB2312"/>
          <w:sz w:val="32"/>
          <w:szCs w:val="32"/>
          <w:lang w:eastAsia="zh-CN"/>
        </w:rPr>
        <w:t>申报</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服务</w:t>
      </w:r>
      <w:r>
        <w:rPr>
          <w:rFonts w:hint="eastAsia" w:ascii="仿宋_GB2312" w:hAnsi="仿宋_GB2312" w:eastAsia="仿宋_GB2312" w:cs="仿宋_GB2312"/>
          <w:sz w:val="32"/>
          <w:szCs w:val="32"/>
        </w:rPr>
        <w:t>项目</w:t>
      </w:r>
      <w:r>
        <w:rPr>
          <w:rFonts w:hint="eastAsia" w:ascii="仿宋_GB2312" w:hAnsi="仿宋_GB2312" w:eastAsia="仿宋_GB2312" w:cs="仿宋_GB2312"/>
          <w:sz w:val="32"/>
          <w:szCs w:val="32"/>
          <w:lang w:eastAsia="zh-CN"/>
        </w:rPr>
        <w:t>积极推进规划、土地、备案、环评等前期工作，帮助企业制定建设和运营提出建议，贯彻物流标准，在项目</w:t>
      </w:r>
      <w:r>
        <w:rPr>
          <w:rFonts w:hint="eastAsia" w:ascii="仿宋_GB2312" w:hAnsi="仿宋_GB2312" w:eastAsia="仿宋_GB2312" w:cs="仿宋_GB2312"/>
          <w:sz w:val="32"/>
          <w:szCs w:val="32"/>
        </w:rPr>
        <w:t>评估</w:t>
      </w:r>
      <w:r>
        <w:rPr>
          <w:rFonts w:hint="eastAsia" w:ascii="仿宋_GB2312" w:hAnsi="仿宋_GB2312" w:eastAsia="仿宋_GB2312" w:cs="仿宋_GB2312"/>
          <w:sz w:val="32"/>
          <w:szCs w:val="32"/>
          <w:lang w:eastAsia="zh-CN"/>
        </w:rPr>
        <w:t>、资料准备等方面提供服务</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二</w:t>
      </w:r>
      <w:r>
        <w:rPr>
          <w:rFonts w:hint="eastAsia" w:ascii="仿宋_GB2312" w:hAnsi="仿宋_GB2312" w:eastAsia="仿宋_GB2312" w:cs="仿宋_GB2312"/>
          <w:sz w:val="32"/>
          <w:szCs w:val="32"/>
        </w:rPr>
        <w:t>是</w:t>
      </w:r>
      <w:r>
        <w:rPr>
          <w:rFonts w:hint="eastAsia" w:ascii="仿宋_GB2312" w:hAnsi="仿宋_GB2312" w:eastAsia="仿宋_GB2312" w:cs="仿宋_GB2312"/>
          <w:sz w:val="32"/>
          <w:szCs w:val="32"/>
          <w:lang w:eastAsia="zh-CN"/>
        </w:rPr>
        <w:t>向上级交通行业主管部门汇报，将有条件的项目推荐至交通部、省交通厅做专项申报，积极争取政策资金扶持。三是对接发改、商务等部门，</w:t>
      </w:r>
      <w:r>
        <w:rPr>
          <w:rFonts w:hint="eastAsia" w:ascii="仿宋_GB2312" w:hAnsi="仿宋_GB2312" w:eastAsia="仿宋_GB2312" w:cs="仿宋_GB2312"/>
          <w:sz w:val="32"/>
          <w:szCs w:val="32"/>
          <w:lang w:val="en-US" w:eastAsia="zh-CN"/>
        </w:rPr>
        <w:t>联合做好城市配送体系、物流信息化、流通供应链等项目申报</w:t>
      </w:r>
      <w:r>
        <w:rPr>
          <w:rFonts w:hint="eastAsia" w:ascii="仿宋" w:hAnsi="仿宋" w:eastAsia="仿宋" w:cs="仿宋"/>
          <w:sz w:val="32"/>
          <w:szCs w:val="32"/>
          <w:lang w:eastAsia="zh-CN"/>
        </w:rPr>
        <w:t>。</w:t>
      </w:r>
    </w:p>
    <w:p w14:paraId="29476AF2">
      <w:pPr>
        <w:keepNext w:val="0"/>
        <w:keepLines w:val="0"/>
        <w:pageBreakBefore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sz w:val="32"/>
        </w:rPr>
      </w:pPr>
      <w:r>
        <w:rPr>
          <w:rFonts w:hint="eastAsia" w:ascii="楷体_GB2312" w:eastAsia="楷体_GB2312"/>
          <w:sz w:val="32"/>
          <w:szCs w:val="32"/>
          <w:lang w:eastAsia="zh-CN"/>
        </w:rPr>
        <w:t>（三）</w:t>
      </w:r>
      <w:r>
        <w:rPr>
          <w:rFonts w:hint="eastAsia" w:ascii="楷体_GB2312" w:eastAsia="楷体_GB2312"/>
          <w:sz w:val="32"/>
          <w:szCs w:val="32"/>
        </w:rPr>
        <w:t>深入企业提供贴心服务。</w:t>
      </w:r>
      <w:r>
        <w:rPr>
          <w:rFonts w:hint="eastAsia" w:ascii="仿宋" w:hAnsi="仿宋" w:eastAsia="仿宋" w:cs="仿宋"/>
          <w:sz w:val="32"/>
          <w:szCs w:val="32"/>
          <w:lang w:eastAsia="zh-CN"/>
        </w:rPr>
        <w:t>区政府成立“服务业发展工作领导小组”，办公室设在区发改局。</w:t>
      </w:r>
      <w:r>
        <w:rPr>
          <w:rFonts w:hint="eastAsia" w:ascii="仿宋_GB2312" w:hAnsi="仿宋_GB2312" w:eastAsia="仿宋_GB2312"/>
          <w:sz w:val="32"/>
          <w:lang w:eastAsia="zh-CN"/>
        </w:rPr>
        <w:t>成员单位</w:t>
      </w:r>
      <w:r>
        <w:rPr>
          <w:rFonts w:hint="eastAsia" w:ascii="仿宋_GB2312" w:hAnsi="仿宋_GB2312" w:eastAsia="仿宋_GB2312"/>
          <w:sz w:val="32"/>
        </w:rPr>
        <w:t>分别联系全区重点物流企业和项目</w:t>
      </w:r>
      <w:r>
        <w:rPr>
          <w:rFonts w:hint="eastAsia" w:ascii="仿宋_GB2312" w:hAnsi="仿宋_GB2312" w:eastAsia="仿宋_GB2312"/>
          <w:sz w:val="32"/>
          <w:lang w:eastAsia="zh-CN"/>
        </w:rPr>
        <w:t>，积极宣传支持政策、协助解决问题、明晰发展方向</w:t>
      </w:r>
      <w:r>
        <w:rPr>
          <w:rFonts w:hint="eastAsia" w:ascii="仿宋_GB2312" w:hAnsi="仿宋_GB2312" w:eastAsia="仿宋_GB2312"/>
          <w:sz w:val="32"/>
        </w:rPr>
        <w:t>。</w:t>
      </w:r>
    </w:p>
    <w:p w14:paraId="15A3800E">
      <w:pPr>
        <w:keepNext w:val="0"/>
        <w:keepLines w:val="0"/>
        <w:pageBreakBefore w:val="0"/>
        <w:kinsoku/>
        <w:wordWrap/>
        <w:overflowPunct/>
        <w:topLinePunct w:val="0"/>
        <w:autoSpaceDE/>
        <w:autoSpaceDN/>
        <w:bidi w:val="0"/>
        <w:adjustRightInd/>
        <w:snapToGrid/>
        <w:spacing w:line="520" w:lineRule="exact"/>
        <w:ind w:firstLine="640" w:firstLineChars="200"/>
        <w:textAlignment w:val="auto"/>
        <w:rPr>
          <w:rFonts w:hint="eastAsia" w:eastAsia="仿宋_GB2312"/>
          <w:sz w:val="32"/>
          <w:szCs w:val="32"/>
        </w:rPr>
      </w:pPr>
      <w:r>
        <w:rPr>
          <w:rFonts w:hint="eastAsia" w:ascii="楷体" w:hAnsi="楷体" w:eastAsia="楷体" w:cs="楷体"/>
          <w:sz w:val="32"/>
          <w:lang w:eastAsia="zh-CN"/>
        </w:rPr>
        <w:t>（四</w:t>
      </w:r>
      <w:r>
        <w:rPr>
          <w:rFonts w:hint="eastAsia" w:ascii="楷体" w:hAnsi="楷体" w:eastAsia="楷体" w:cs="楷体"/>
          <w:sz w:val="32"/>
          <w:lang w:val="en-US" w:eastAsia="zh-CN"/>
        </w:rPr>
        <w:t>)支持</w:t>
      </w:r>
      <w:r>
        <w:rPr>
          <w:rFonts w:hint="eastAsia" w:ascii="楷体" w:hAnsi="楷体" w:eastAsia="楷体" w:cs="楷体"/>
          <w:sz w:val="32"/>
        </w:rPr>
        <w:t>协会构筑企业之家。</w:t>
      </w:r>
      <w:r>
        <w:rPr>
          <w:rFonts w:hint="eastAsia" w:ascii="仿宋_GB2312" w:hAnsi="仿宋_GB2312" w:eastAsia="仿宋_GB2312"/>
          <w:sz w:val="32"/>
          <w:lang w:eastAsia="zh-CN"/>
        </w:rPr>
        <w:t>引导协会组织创办了</w:t>
      </w:r>
      <w:r>
        <w:rPr>
          <w:rFonts w:hint="eastAsia" w:ascii="仿宋_GB2312" w:hAnsi="仿宋_GB2312" w:eastAsia="仿宋_GB2312"/>
          <w:sz w:val="32"/>
        </w:rPr>
        <w:t>“市级大学生见习基地”</w:t>
      </w:r>
      <w:r>
        <w:rPr>
          <w:rFonts w:hint="eastAsia" w:ascii="仿宋_GB2312" w:hAnsi="仿宋_GB2312" w:eastAsia="仿宋_GB2312"/>
          <w:sz w:val="32"/>
          <w:lang w:eastAsia="zh-CN"/>
        </w:rPr>
        <w:t>、</w:t>
      </w:r>
      <w:r>
        <w:rPr>
          <w:rFonts w:hint="eastAsia" w:ascii="仿宋_GB2312" w:hAnsi="仿宋_GB2312" w:eastAsia="仿宋_GB2312"/>
          <w:sz w:val="32"/>
        </w:rPr>
        <w:t>设立了“技术工人就业培训基地”</w:t>
      </w:r>
      <w:r>
        <w:rPr>
          <w:rFonts w:hint="eastAsia" w:ascii="仿宋_GB2312" w:hAnsi="仿宋_GB2312" w:eastAsia="仿宋_GB2312"/>
          <w:sz w:val="32"/>
          <w:lang w:eastAsia="zh-CN"/>
        </w:rPr>
        <w:t>、</w:t>
      </w:r>
      <w:r>
        <w:rPr>
          <w:rFonts w:hint="eastAsia" w:ascii="仿宋_GB2312" w:hAnsi="仿宋_GB2312" w:eastAsia="仿宋_GB2312"/>
          <w:sz w:val="32"/>
        </w:rPr>
        <w:t>筹办了</w:t>
      </w:r>
      <w:r>
        <w:rPr>
          <w:rFonts w:hint="eastAsia" w:ascii="仿宋_GB2312" w:hAnsi="仿宋_GB2312" w:eastAsia="仿宋_GB2312"/>
          <w:sz w:val="32"/>
          <w:lang w:eastAsia="zh-CN"/>
        </w:rPr>
        <w:t>襄阳</w:t>
      </w:r>
      <w:r>
        <w:rPr>
          <w:rFonts w:hint="eastAsia" w:ascii="仿宋_GB2312" w:hAnsi="仿宋_GB2312" w:eastAsia="仿宋_GB2312"/>
          <w:sz w:val="32"/>
        </w:rPr>
        <w:t>第一期“物流师职业资格（中级）”培训班</w:t>
      </w:r>
      <w:r>
        <w:rPr>
          <w:rFonts w:hint="eastAsia" w:ascii="仿宋_GB2312" w:hAnsi="仿宋_GB2312" w:eastAsia="仿宋_GB2312"/>
          <w:sz w:val="32"/>
          <w:lang w:eastAsia="zh-CN"/>
        </w:rPr>
        <w:t>、</w:t>
      </w:r>
      <w:r>
        <w:rPr>
          <w:rFonts w:hint="eastAsia" w:ascii="仿宋_GB2312" w:hAnsi="仿宋_GB2312" w:eastAsia="仿宋_GB2312"/>
          <w:sz w:val="32"/>
        </w:rPr>
        <w:t>帮助企业开展“A级物流企业评估”工作，支持物流企业品牌建设。</w:t>
      </w:r>
    </w:p>
    <w:p w14:paraId="50E1D945">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right="0" w:rightChars="0" w:firstLine="640" w:firstLineChars="200"/>
        <w:jc w:val="left"/>
        <w:textAlignment w:val="auto"/>
        <w:outlineLvl w:val="9"/>
        <w:rPr>
          <w:rFonts w:hint="eastAsia" w:ascii="仿宋" w:hAnsi="仿宋" w:eastAsia="仿宋" w:cs="仿宋"/>
          <w:b w:val="0"/>
          <w:bCs w:val="0"/>
          <w:sz w:val="32"/>
          <w:szCs w:val="32"/>
          <w:lang w:eastAsia="zh-CN"/>
        </w:rPr>
      </w:pPr>
      <w:r>
        <w:rPr>
          <w:rFonts w:hint="eastAsia" w:ascii="黑体" w:hAnsi="黑体" w:eastAsia="黑体" w:cs="黑体"/>
          <w:sz w:val="32"/>
          <w:szCs w:val="32"/>
          <w:lang w:val="en-US" w:eastAsia="zh-CN"/>
        </w:rPr>
        <w:t>四、存在问题及建议</w:t>
      </w:r>
    </w:p>
    <w:p w14:paraId="78BCC7C8">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right="0" w:rightChars="0" w:firstLine="640" w:firstLineChars="200"/>
        <w:jc w:val="left"/>
        <w:textAlignment w:val="auto"/>
        <w:outlineLvl w:val="9"/>
        <w:rPr>
          <w:rFonts w:hint="eastAsia" w:ascii="仿宋" w:hAnsi="仿宋" w:eastAsia="仿宋" w:cs="仿宋"/>
          <w:b w:val="0"/>
          <w:bCs w:val="0"/>
          <w:sz w:val="32"/>
          <w:szCs w:val="32"/>
          <w:lang w:val="en-US" w:eastAsia="zh-CN"/>
        </w:rPr>
      </w:pPr>
      <w:r>
        <w:rPr>
          <w:rFonts w:hint="eastAsia" w:ascii="楷体" w:hAnsi="楷体" w:eastAsia="楷体" w:cs="楷体"/>
          <w:b w:val="0"/>
          <w:bCs w:val="0"/>
          <w:sz w:val="32"/>
          <w:szCs w:val="32"/>
          <w:lang w:val="en-US" w:eastAsia="zh-CN"/>
        </w:rPr>
        <w:t>（一)政府管理体制亟待理顺。</w:t>
      </w:r>
      <w:r>
        <w:rPr>
          <w:rFonts w:hint="eastAsia" w:ascii="仿宋" w:hAnsi="仿宋" w:eastAsia="仿宋" w:cs="仿宋"/>
          <w:b w:val="0"/>
          <w:bCs w:val="0"/>
          <w:sz w:val="32"/>
          <w:szCs w:val="32"/>
          <w:lang w:val="en-US" w:eastAsia="zh-CN"/>
        </w:rPr>
        <w:t>从全市现行管理模式来看，涉及现代物流产业的主要管理部门有发改（政策规划及粮食仓储及冷链）、交通（运输方式、通道、车辆及场站）、商务（电商物流、外贸口岸）、科经（工业供应链）、农业（农贸供应链）、供销（农资）、邮政（快递快运）。这种管理体制过于分散，权责不明，政出多门，交叉严重，信息不畅，政府管理难以形成合力，与现代物流高层级资源整合、高效率专业服务的产业需求不匹配，影响了襄阳整个城市的物流服务效率和市场辐射能力。</w:t>
      </w:r>
    </w:p>
    <w:p w14:paraId="2F7414DA">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right="0" w:rightChars="0"/>
        <w:jc w:val="left"/>
        <w:textAlignment w:val="auto"/>
        <w:outlineLvl w:val="9"/>
        <w:rPr>
          <w:rFonts w:hint="eastAsia" w:ascii="仿宋" w:hAnsi="仿宋" w:eastAsia="仿宋" w:cs="仿宋"/>
          <w:b w:val="0"/>
          <w:bCs w:val="0"/>
          <w:sz w:val="32"/>
          <w:szCs w:val="32"/>
          <w:lang w:eastAsia="zh-CN"/>
        </w:rPr>
      </w:pPr>
      <w:r>
        <w:rPr>
          <w:rFonts w:hint="eastAsia" w:ascii="仿宋" w:hAnsi="仿宋" w:eastAsia="仿宋" w:cs="仿宋"/>
          <w:b w:val="0"/>
          <w:bCs w:val="0"/>
          <w:sz w:val="32"/>
          <w:szCs w:val="32"/>
          <w:lang w:eastAsia="zh-CN"/>
        </w:rPr>
        <w:t>建议：借鉴宜昌、鄂州等地管理体制改革经验，出台《物流市场管理条例》，设立由政府直管的物流发展服务机构，将各部门有关职责（邮政除外）整合至该机构，统一负责现代物流产业发展工作。</w:t>
      </w:r>
      <w:r>
        <w:rPr>
          <w:rFonts w:hint="eastAsia" w:ascii="仿宋" w:hAnsi="仿宋" w:eastAsia="仿宋" w:cs="仿宋"/>
          <w:b w:val="0"/>
          <w:bCs w:val="0"/>
          <w:sz w:val="32"/>
          <w:szCs w:val="32"/>
          <w:lang w:val="en-US" w:eastAsia="zh-CN"/>
        </w:rPr>
        <w:t xml:space="preserve">                                                                                                                                                                                                                                                 </w:t>
      </w:r>
    </w:p>
    <w:p w14:paraId="1AAA3A88">
      <w:pPr>
        <w:pStyle w:val="7"/>
        <w:keepNext w:val="0"/>
        <w:keepLines w:val="0"/>
        <w:pageBreakBefore w:val="0"/>
        <w:widowControl/>
        <w:numPr>
          <w:ilvl w:val="0"/>
          <w:numId w:val="2"/>
        </w:numPr>
        <w:suppressLineNumbers w:val="0"/>
        <w:kinsoku/>
        <w:wordWrap/>
        <w:overflowPunct/>
        <w:topLinePunct w:val="0"/>
        <w:autoSpaceDE/>
        <w:autoSpaceDN/>
        <w:bidi w:val="0"/>
        <w:adjustRightInd/>
        <w:snapToGrid/>
        <w:spacing w:before="0" w:after="0" w:line="520" w:lineRule="exact"/>
        <w:ind w:left="-13" w:leftChars="0" w:right="0" w:rightChars="0" w:firstLine="643" w:firstLineChars="0"/>
        <w:jc w:val="both"/>
        <w:textAlignment w:val="auto"/>
        <w:outlineLvl w:val="9"/>
        <w:rPr>
          <w:rFonts w:hint="eastAsia" w:ascii="仿宋" w:hAnsi="仿宋" w:eastAsia="仿宋" w:cs="仿宋"/>
          <w:sz w:val="32"/>
          <w:szCs w:val="32"/>
          <w:lang w:val="en-US" w:eastAsia="zh-CN"/>
        </w:rPr>
      </w:pPr>
      <w:r>
        <w:rPr>
          <w:rFonts w:hint="eastAsia" w:ascii="楷体" w:hAnsi="楷体" w:eastAsia="楷体" w:cs="楷体"/>
          <w:b w:val="0"/>
          <w:bCs w:val="0"/>
          <w:sz w:val="32"/>
          <w:szCs w:val="32"/>
          <w:lang w:eastAsia="zh-CN"/>
        </w:rPr>
        <w:t>襄州在全市物流规划中的地位有待加强。</w:t>
      </w:r>
      <w:r>
        <w:rPr>
          <w:rFonts w:hint="eastAsia" w:ascii="仿宋" w:hAnsi="仿宋" w:eastAsia="仿宋" w:cs="仿宋"/>
          <w:b w:val="0"/>
          <w:bCs w:val="0"/>
          <w:sz w:val="32"/>
          <w:szCs w:val="32"/>
          <w:lang w:eastAsia="zh-CN"/>
        </w:rPr>
        <w:t>目前，《襄阳市</w:t>
      </w:r>
      <w:r>
        <w:rPr>
          <w:rFonts w:hint="eastAsia" w:ascii="仿宋" w:hAnsi="仿宋" w:eastAsia="仿宋" w:cs="仿宋"/>
          <w:sz w:val="32"/>
          <w:szCs w:val="32"/>
          <w:lang w:val="en-US" w:eastAsia="zh-CN"/>
        </w:rPr>
        <w:t>“十五五”现代物流产业规划》正在加紧制定，园区布局将做出较大调整。从现有情况看，赵寨港等十分重要的铁路、公路枢纽急需纳入全市重要发展布局。</w:t>
      </w:r>
    </w:p>
    <w:p w14:paraId="575ABC49">
      <w:pPr>
        <w:pStyle w:val="7"/>
        <w:keepNext w:val="0"/>
        <w:keepLines w:val="0"/>
        <w:pageBreakBefore w:val="0"/>
        <w:widowControl/>
        <w:numPr>
          <w:ilvl w:val="0"/>
          <w:numId w:val="0"/>
        </w:numPr>
        <w:suppressLineNumbers w:val="0"/>
        <w:kinsoku/>
        <w:wordWrap/>
        <w:overflowPunct/>
        <w:topLinePunct w:val="0"/>
        <w:autoSpaceDE/>
        <w:autoSpaceDN/>
        <w:bidi w:val="0"/>
        <w:adjustRightInd/>
        <w:snapToGrid/>
        <w:spacing w:before="0" w:after="0" w:line="520" w:lineRule="exact"/>
        <w:ind w:right="0" w:rightChars="0" w:firstLine="640" w:firstLineChars="200"/>
        <w:jc w:val="both"/>
        <w:textAlignment w:val="auto"/>
        <w:outlineLvl w:val="9"/>
        <w:rPr>
          <w:rFonts w:hint="eastAsia" w:ascii="楷体" w:hAnsi="楷体" w:eastAsia="楷体" w:cs="楷体"/>
          <w:b w:val="0"/>
          <w:bCs w:val="0"/>
          <w:sz w:val="32"/>
          <w:szCs w:val="32"/>
          <w:lang w:eastAsia="zh-CN"/>
        </w:rPr>
      </w:pPr>
      <w:r>
        <w:rPr>
          <w:rFonts w:hint="eastAsia" w:ascii="仿宋" w:hAnsi="仿宋" w:eastAsia="仿宋" w:cs="仿宋"/>
          <w:sz w:val="32"/>
          <w:szCs w:val="32"/>
          <w:lang w:val="en-US" w:eastAsia="zh-CN"/>
        </w:rPr>
        <w:t>建议：抓紧与市发改委对接，介于全市物流市场体量限制，物流枢纽布局太散难以发挥集聚和辐射作用，建议将全市物流枢纽布局确定为3个(以唐白河港口群和襄阳临空经济区为核心，从汉丹铁路接入连接线至武坡港，形成襄阳东铁水公空联运枢纽；以拟建的襄阳铁路物流基地和在建的浩吉铁路襄州北物流基地为双核心，差异化发展，形成襄阳北公铁联运枢纽；以小河港和浩吉铁路欧庙站为核心，优化整合焦柳铁路王树岗站和余家湖港现有功能，形成襄阳南公铁水联运枢纽。将樊西以传化公路港为核心的“公路枢纽”规划为樊西物流园区，与襄阳北快递快运物流园区、中车物流园、襄阳东农产品物流园区和位于东津的高铁物流园构成5大特色物流园区，形成“三大综合型多式联运枢纽和五大特色物流园区”的空间布局。</w:t>
      </w:r>
    </w:p>
    <w:p w14:paraId="08228B46">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right="0" w:rightChars="0" w:firstLine="640" w:firstLineChars="200"/>
        <w:jc w:val="left"/>
        <w:textAlignment w:val="auto"/>
        <w:outlineLvl w:val="9"/>
        <w:rPr>
          <w:rFonts w:hint="eastAsia" w:ascii="仿宋" w:hAnsi="仿宋" w:eastAsia="仿宋" w:cs="仿宋"/>
          <w:b w:val="0"/>
          <w:bCs w:val="0"/>
          <w:sz w:val="32"/>
          <w:szCs w:val="32"/>
          <w:lang w:eastAsia="zh-CN"/>
        </w:rPr>
      </w:pPr>
      <w:r>
        <w:rPr>
          <w:rFonts w:hint="eastAsia" w:ascii="楷体" w:hAnsi="楷体" w:eastAsia="楷体" w:cs="楷体"/>
          <w:b w:val="0"/>
          <w:bCs w:val="0"/>
          <w:sz w:val="32"/>
          <w:szCs w:val="32"/>
          <w:lang w:eastAsia="zh-CN"/>
        </w:rPr>
        <w:t>（三）项目投资运营管理有待加强。</w:t>
      </w:r>
      <w:r>
        <w:rPr>
          <w:rFonts w:hint="eastAsia" w:ascii="仿宋" w:hAnsi="仿宋" w:eastAsia="仿宋" w:cs="仿宋"/>
          <w:b w:val="0"/>
          <w:bCs w:val="0"/>
          <w:sz w:val="32"/>
          <w:szCs w:val="32"/>
          <w:lang w:eastAsia="zh-CN"/>
        </w:rPr>
        <w:t>现有物流项目投资均走招商引资程序，参照工业项目投资政策，对运营环节的管控考虑较少，物流专业化考核不够，容易造成以物流名义圈地开发地产项目，造成专业化物流企业无法划行规市、入园经营，宝贵的土地资源被白白浪费，物流产业资源整合不力，企业服务成本难以降低。</w:t>
      </w:r>
    </w:p>
    <w:p w14:paraId="7668210F">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right="0" w:rightChars="0" w:firstLine="640" w:firstLineChars="200"/>
        <w:jc w:val="left"/>
        <w:textAlignment w:val="auto"/>
        <w:outlineLvl w:val="9"/>
        <w:rPr>
          <w:rFonts w:hint="eastAsia" w:ascii="仿宋" w:hAnsi="仿宋" w:eastAsia="仿宋" w:cs="仿宋"/>
          <w:b w:val="0"/>
          <w:bCs w:val="0"/>
          <w:sz w:val="32"/>
          <w:szCs w:val="32"/>
          <w:lang w:eastAsia="zh-CN"/>
        </w:rPr>
      </w:pPr>
      <w:r>
        <w:rPr>
          <w:rFonts w:hint="eastAsia" w:ascii="仿宋" w:hAnsi="仿宋" w:eastAsia="仿宋" w:cs="仿宋"/>
          <w:b w:val="0"/>
          <w:bCs w:val="0"/>
          <w:sz w:val="32"/>
          <w:szCs w:val="32"/>
          <w:lang w:eastAsia="zh-CN"/>
        </w:rPr>
        <w:t>建议：加大对现代物流产业发展趋势研究，明确物流项目招商引资的目标设定为在全国物流行业排名前列的供应链管理企业；具有全国物流园区布局的物流市场运营能力的上市企业；具有物流产业运作经验的国有企业</w:t>
      </w:r>
      <w:r>
        <w:rPr>
          <w:rFonts w:hint="eastAsia" w:ascii="仿宋" w:hAnsi="仿宋" w:eastAsia="仿宋" w:cs="仿宋"/>
          <w:b w:val="0"/>
          <w:bCs w:val="0"/>
          <w:sz w:val="32"/>
          <w:szCs w:val="32"/>
          <w:lang w:val="en-US" w:eastAsia="zh-CN"/>
        </w:rPr>
        <w:t>；具备</w:t>
      </w:r>
      <w:r>
        <w:rPr>
          <w:rFonts w:hint="eastAsia" w:ascii="仿宋" w:hAnsi="仿宋" w:eastAsia="仿宋" w:cs="仿宋"/>
          <w:b w:val="0"/>
          <w:bCs w:val="0"/>
          <w:sz w:val="32"/>
          <w:szCs w:val="32"/>
          <w:lang w:eastAsia="zh-CN"/>
        </w:rPr>
        <w:t>电商及仓配一体化的知名品牌物流企业；在汉江流域排名靠前的知名物流企业。设立物流项目投资咨询会商机制，突出物流产业特点，将投资建设和后期运营统筹考虑设立考核机制，防治产业“空心化”。</w:t>
      </w:r>
    </w:p>
    <w:p w14:paraId="3FC747C5">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right="0" w:rightChars="0" w:firstLine="640" w:firstLineChars="200"/>
        <w:jc w:val="left"/>
        <w:textAlignment w:val="auto"/>
        <w:outlineLvl w:val="9"/>
        <w:rPr>
          <w:rFonts w:hint="eastAsia" w:ascii="仿宋" w:hAnsi="仿宋" w:eastAsia="仿宋" w:cs="仿宋"/>
          <w:b w:val="0"/>
          <w:bCs w:val="0"/>
          <w:sz w:val="32"/>
          <w:szCs w:val="32"/>
          <w:lang w:val="en-US" w:eastAsia="zh-CN"/>
        </w:rPr>
      </w:pPr>
      <w:r>
        <w:rPr>
          <w:rFonts w:hint="eastAsia" w:ascii="楷体" w:hAnsi="楷体" w:eastAsia="楷体" w:cs="楷体"/>
          <w:b w:val="0"/>
          <w:bCs w:val="0"/>
          <w:sz w:val="32"/>
          <w:szCs w:val="32"/>
          <w:lang w:val="en-US" w:eastAsia="zh-CN"/>
        </w:rPr>
        <w:t>（四）扶持企业发展力度有待加强。</w:t>
      </w:r>
      <w:r>
        <w:rPr>
          <w:rFonts w:hint="eastAsia" w:ascii="仿宋" w:hAnsi="仿宋" w:eastAsia="仿宋" w:cs="仿宋"/>
          <w:b w:val="0"/>
          <w:bCs w:val="0"/>
          <w:sz w:val="32"/>
          <w:szCs w:val="32"/>
          <w:lang w:val="en-US" w:eastAsia="zh-CN"/>
        </w:rPr>
        <w:t>重新设立产业发展基金，在国家倡导的绿色物流、互联网+高效物流、多式联运、城乡一体化物流等方面加强资金扶持，加快推进物流行业转型发展。</w:t>
      </w:r>
    </w:p>
    <w:p w14:paraId="30167DFD">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right="0" w:rightChars="0" w:firstLine="640" w:firstLineChars="200"/>
        <w:jc w:val="left"/>
        <w:textAlignment w:val="auto"/>
        <w:outlineLvl w:val="9"/>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建议：调整完善奖励扶持政策，每年对新能源汽车参与城乡配送、本地物流信息平台建设、多式联运项目、冷链物流、互联网+高效物流、物流品牌企业建设等创新业态进行考核验收和资金扶持。</w:t>
      </w:r>
    </w:p>
    <w:p w14:paraId="0016B603">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right="0" w:rightChars="0" w:firstLine="640" w:firstLineChars="200"/>
        <w:jc w:val="left"/>
        <w:textAlignment w:val="auto"/>
        <w:outlineLvl w:val="9"/>
        <w:rPr>
          <w:rFonts w:hint="eastAsia" w:ascii="仿宋" w:hAnsi="仿宋" w:eastAsia="仿宋" w:cs="仿宋"/>
          <w:b w:val="0"/>
          <w:bCs w:val="0"/>
          <w:sz w:val="32"/>
          <w:szCs w:val="32"/>
          <w:lang w:val="en-US" w:eastAsia="zh-CN"/>
        </w:rPr>
      </w:pPr>
      <w:r>
        <w:rPr>
          <w:rFonts w:hint="eastAsia" w:ascii="楷体" w:hAnsi="楷体" w:eastAsia="楷体" w:cs="楷体"/>
          <w:b w:val="0"/>
          <w:bCs w:val="0"/>
          <w:sz w:val="32"/>
          <w:szCs w:val="32"/>
          <w:lang w:val="en-US" w:eastAsia="zh-CN"/>
        </w:rPr>
        <w:t>（五）推进农村物流发展有待加强。</w:t>
      </w:r>
      <w:r>
        <w:rPr>
          <w:rFonts w:hint="eastAsia" w:ascii="仿宋" w:hAnsi="仿宋" w:eastAsia="仿宋" w:cs="仿宋"/>
          <w:b w:val="0"/>
          <w:bCs w:val="0"/>
          <w:sz w:val="32"/>
          <w:szCs w:val="32"/>
          <w:lang w:val="en-US" w:eastAsia="zh-CN"/>
        </w:rPr>
        <w:t>国务院、各有关部委将推进农村物流发展作为近期重点工程推进，出台了推进农村物流融合发展的有关政策，但具体执行过程中，部门间难以形成合力，融合力度不够，造成了城乡物流服务衔接不畅、农村物流成本居高不下的局面，一时难有改观。</w:t>
      </w:r>
    </w:p>
    <w:p w14:paraId="705F2B52">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right="0" w:rightChars="0"/>
        <w:jc w:val="left"/>
        <w:textAlignment w:val="auto"/>
        <w:outlineLvl w:val="9"/>
        <w:rPr>
          <w:rFonts w:hint="eastAsia" w:ascii="仿宋" w:hAnsi="仿宋" w:eastAsia="仿宋" w:cs="仿宋"/>
          <w:b w:val="0"/>
          <w:bCs w:val="0"/>
          <w:sz w:val="32"/>
          <w:szCs w:val="32"/>
          <w:lang w:val="en-US" w:eastAsia="zh-CN"/>
        </w:rPr>
      </w:pPr>
      <w:r>
        <w:rPr>
          <w:rFonts w:hint="eastAsia" w:ascii="仿宋" w:hAnsi="仿宋" w:eastAsia="仿宋" w:cs="仿宋"/>
          <w:b w:val="0"/>
          <w:bCs w:val="0"/>
          <w:sz w:val="32"/>
          <w:szCs w:val="32"/>
          <w:lang w:val="en-US" w:eastAsia="zh-CN"/>
        </w:rPr>
        <w:t xml:space="preserve">    建议：将农村物流融合发展纳入对各镇的考核范畴，尽快树立农村物流发展“一盘棋”思想，突出农产品供应链发展和农村寄递物流体系建设，调动各方力量大力推进农村物流发展，避免形成各部门各自为政、资源分散和重复建设的不利局面。</w:t>
      </w:r>
    </w:p>
    <w:p w14:paraId="35889704">
      <w:pPr>
        <w:keepNext w:val="0"/>
        <w:keepLines w:val="0"/>
        <w:pageBreakBefore w:val="0"/>
        <w:widowControl w:val="0"/>
        <w:kinsoku/>
        <w:wordWrap/>
        <w:overflowPunct/>
        <w:topLinePunct w:val="0"/>
        <w:autoSpaceDE/>
        <w:autoSpaceDN/>
        <w:bidi w:val="0"/>
        <w:adjustRightInd/>
        <w:snapToGrid/>
        <w:spacing w:line="520" w:lineRule="exact"/>
        <w:ind w:left="0" w:leftChars="0" w:right="0" w:rightChars="0" w:firstLine="640" w:firstLineChars="200"/>
        <w:jc w:val="left"/>
        <w:textAlignment w:val="auto"/>
        <w:outlineLvl w:val="9"/>
        <w:rPr>
          <w:rFonts w:hint="eastAsia" w:ascii="仿宋" w:hAnsi="仿宋" w:eastAsia="仿宋" w:cs="仿宋"/>
          <w:sz w:val="32"/>
          <w:szCs w:val="32"/>
          <w:lang w:val="en-US" w:eastAsia="zh-CN"/>
        </w:rPr>
      </w:pPr>
      <w:r>
        <w:rPr>
          <w:rFonts w:hint="eastAsia" w:ascii="黑体" w:hAnsi="黑体" w:eastAsia="黑体" w:cs="黑体"/>
          <w:sz w:val="32"/>
          <w:szCs w:val="32"/>
          <w:lang w:val="en-US" w:eastAsia="zh-CN"/>
        </w:rPr>
        <w:t xml:space="preserve">五、十五五期发展目标及措施 </w:t>
      </w:r>
      <w:r>
        <w:rPr>
          <w:rFonts w:hint="eastAsia" w:ascii="仿宋" w:hAnsi="仿宋" w:eastAsia="仿宋" w:cs="仿宋"/>
          <w:sz w:val="32"/>
          <w:szCs w:val="32"/>
          <w:lang w:val="en-US" w:eastAsia="zh-CN"/>
        </w:rPr>
        <w:t xml:space="preserve">                    </w:t>
      </w:r>
    </w:p>
    <w:p w14:paraId="57CA4867">
      <w:pPr>
        <w:keepNext w:val="0"/>
        <w:keepLines w:val="0"/>
        <w:pageBreakBefore w:val="0"/>
        <w:widowControl w:val="0"/>
        <w:kinsoku/>
        <w:wordWrap/>
        <w:overflowPunct/>
        <w:topLinePunct w:val="0"/>
        <w:autoSpaceDE/>
        <w:autoSpaceDN/>
        <w:bidi w:val="0"/>
        <w:adjustRightInd/>
        <w:snapToGrid/>
        <w:spacing w:line="520" w:lineRule="exact"/>
        <w:ind w:right="0" w:rightChars="0" w:firstLine="420" w:firstLineChars="200"/>
        <w:jc w:val="left"/>
        <w:textAlignment w:val="auto"/>
        <w:outlineLvl w:val="9"/>
        <w:rPr>
          <w:rFonts w:hint="eastAsia" w:ascii="仿宋_GB2312" w:hAnsi="仿宋_GB2312" w:eastAsia="仿宋_GB2312"/>
          <w:sz w:val="32"/>
          <w:szCs w:val="32"/>
          <w:lang w:val="en-US" w:eastAsia="zh-CN"/>
        </w:rPr>
      </w:pPr>
      <w:r>
        <w:rPr>
          <w:rFonts w:hint="eastAsia"/>
          <w:lang w:val="en-US" w:eastAsia="zh-CN"/>
        </w:rPr>
        <w:t xml:space="preserve">  </w:t>
      </w:r>
      <w:r>
        <w:rPr>
          <w:rFonts w:hint="eastAsia" w:ascii="仿宋" w:hAnsi="仿宋" w:eastAsia="仿宋" w:cs="仿宋"/>
          <w:sz w:val="32"/>
          <w:szCs w:val="32"/>
          <w:lang w:val="en-US" w:eastAsia="zh-CN"/>
        </w:rPr>
        <w:t>“十四五”期间，我区将</w:t>
      </w:r>
      <w:r>
        <w:rPr>
          <w:rFonts w:hint="eastAsia" w:ascii="仿宋" w:hAnsi="仿宋" w:eastAsia="仿宋" w:cs="仿宋"/>
          <w:b w:val="0"/>
          <w:bCs w:val="0"/>
          <w:kern w:val="2"/>
          <w:sz w:val="32"/>
          <w:szCs w:val="32"/>
          <w:lang w:val="en-US" w:eastAsia="zh-CN" w:bidi="ar-SA"/>
        </w:rPr>
        <w:t>以加快建设国家物流枢纽承载城市为引领，全力推进现代物流产业做大做强。</w:t>
      </w:r>
      <w:r>
        <w:rPr>
          <w:rFonts w:hint="eastAsia" w:ascii="仿宋_GB2312" w:hAnsi="仿宋_GB2312" w:eastAsia="仿宋_GB2312"/>
          <w:sz w:val="32"/>
          <w:szCs w:val="32"/>
          <w:lang w:val="en-US" w:eastAsia="zh-CN"/>
        </w:rPr>
        <w:t>依托公、铁、水、空连通畅达的交通条件，加快多式联运物流项目建设和公路物流项目转型升级，加快供应链平台项目创新拓展，有序推进线上线下物流市场融合发展和多种运输方式协同，促进物流市场生态体系健康发展。</w:t>
      </w:r>
    </w:p>
    <w:p w14:paraId="0CBDE728">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baseline"/>
        <w:rPr>
          <w:rFonts w:hint="eastAsia" w:ascii="仿宋_GB2312" w:hAnsi="仿宋_GB2312" w:eastAsia="仿宋_GB2312"/>
          <w:sz w:val="32"/>
          <w:szCs w:val="32"/>
          <w:lang w:val="en-US" w:eastAsia="zh-CN"/>
        </w:rPr>
      </w:pPr>
      <w:r>
        <w:rPr>
          <w:rFonts w:hint="eastAsia" w:ascii="仿宋_GB2312" w:hAnsi="仿宋_GB2312" w:eastAsia="仿宋_GB2312"/>
          <w:sz w:val="32"/>
          <w:szCs w:val="32"/>
          <w:lang w:val="en-US" w:eastAsia="zh-CN"/>
        </w:rPr>
        <w:t>一是依托浩吉铁路大通道挖掘释放市场潜力。按照“产城融合、站城一体”的思路，积极服务浩吉物流小镇建设和运营，重点引导浩吉、国储、际华等企业向开发建设与供应链市场一体化服务的方向发展。紧紧围绕煤炭、金属、纺织、粮食等重点品类进行增链、延链、扩链建设，通过做大大宗货物流通盘，带动加工、包装、研发、金融等产业类型向浩吉物流小镇聚集，提升大宗货品的附加值。预计可实现煤炭及相关产品年到发量达200万吨，货值40亿元以上。实现粮食年到发量100万吨，实现货值20亿元以上。</w:t>
      </w:r>
    </w:p>
    <w:p w14:paraId="41D2BD50">
      <w:pPr>
        <w:pStyle w:val="2"/>
        <w:keepNext w:val="0"/>
        <w:keepLines w:val="0"/>
        <w:pageBreakBefore w:val="0"/>
        <w:kinsoku/>
        <w:wordWrap/>
        <w:overflowPunct/>
        <w:topLinePunct w:val="0"/>
        <w:autoSpaceDE/>
        <w:autoSpaceDN/>
        <w:bidi w:val="0"/>
        <w:adjustRightInd/>
        <w:snapToGrid/>
        <w:spacing w:line="520" w:lineRule="exact"/>
        <w:ind w:left="0" w:leftChars="0" w:firstLine="640" w:firstLineChars="0"/>
        <w:rPr>
          <w:rFonts w:hint="eastAsia" w:ascii="仿宋_GB2312" w:hAnsi="仿宋_GB2312" w:eastAsia="仿宋_GB2312"/>
          <w:sz w:val="32"/>
          <w:szCs w:val="32"/>
          <w:lang w:val="en-US" w:eastAsia="zh-CN"/>
        </w:rPr>
      </w:pPr>
      <w:r>
        <w:rPr>
          <w:rFonts w:hint="eastAsia" w:ascii="仿宋_GB2312" w:hAnsi="仿宋_GB2312" w:eastAsia="仿宋_GB2312"/>
          <w:sz w:val="32"/>
          <w:szCs w:val="32"/>
          <w:lang w:val="en-US" w:eastAsia="zh-CN"/>
        </w:rPr>
        <w:t>二是顺应商贸物流发展趋势重点建设快递快运服务体系。近年来，以“互联网+品牌快递快运”的商贸流通模式已经确立了市场主导地位，快递快运货品货量保持快速增长态势，我区应发挥福银襄阳北高速出口和即将开通的郑岗高速出口的通道优势，大力引进快递快运品牌企业在附近集聚建设分拨中心项目，加快构建辐射襄阳城乡的快速配送体系，延长商贸物流的服务链条，提升客户体验，同时满足服务现有商贸卖场物流需求，扩大市场占有率。</w:t>
      </w:r>
    </w:p>
    <w:p w14:paraId="4CC894F9">
      <w:pPr>
        <w:pStyle w:val="2"/>
        <w:keepNext w:val="0"/>
        <w:keepLines w:val="0"/>
        <w:pageBreakBefore w:val="0"/>
        <w:kinsoku/>
        <w:wordWrap/>
        <w:overflowPunct/>
        <w:topLinePunct w:val="0"/>
        <w:autoSpaceDE/>
        <w:autoSpaceDN/>
        <w:bidi w:val="0"/>
        <w:adjustRightInd/>
        <w:snapToGrid/>
        <w:spacing w:line="520" w:lineRule="exact"/>
        <w:ind w:left="0" w:leftChars="0" w:firstLine="640" w:firstLineChars="0"/>
        <w:rPr>
          <w:rFonts w:hint="default" w:ascii="仿宋_GB2312" w:hAnsi="仿宋_GB2312" w:eastAsia="仿宋_GB2312"/>
          <w:sz w:val="32"/>
          <w:szCs w:val="32"/>
          <w:lang w:val="en-US" w:eastAsia="zh-CN"/>
        </w:rPr>
      </w:pPr>
      <w:r>
        <w:rPr>
          <w:rFonts w:hint="eastAsia" w:ascii="仿宋_GB2312" w:hAnsi="仿宋_GB2312" w:eastAsia="仿宋_GB2312"/>
          <w:sz w:val="32"/>
          <w:szCs w:val="32"/>
          <w:lang w:val="en-US" w:eastAsia="zh-CN"/>
        </w:rPr>
        <w:t>三是整合农业物流市场需求重点打造供应链服务体系。以涉农产品供应链平台建设为突破口，围绕粮食肉类、经济作物、水果蔬菜、种子农药物流需求，加快补齐冷藏冷冻、仓储配送、流通加工、包装分拣等基础设施短板，形成公铁联运、期货交割、分拨配送等环节完备、衔接流畅、渠道稳定、开放合作的现代涉农供应链网络服务体系。</w:t>
      </w:r>
    </w:p>
    <w:p w14:paraId="57F69AB0">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baseline"/>
        <w:rPr>
          <w:rFonts w:hint="eastAsia" w:ascii="仿宋_GB2312" w:hAnsi="仿宋_GB2312" w:eastAsia="仿宋_GB2312"/>
          <w:sz w:val="32"/>
          <w:szCs w:val="32"/>
          <w:lang w:val="en-US" w:eastAsia="zh-CN"/>
        </w:rPr>
      </w:pPr>
      <w:r>
        <w:rPr>
          <w:rFonts w:hint="eastAsia" w:ascii="仿宋_GB2312" w:hAnsi="仿宋_GB2312" w:eastAsia="仿宋_GB2312"/>
          <w:sz w:val="32"/>
          <w:szCs w:val="32"/>
          <w:lang w:val="en-US" w:eastAsia="zh-CN"/>
        </w:rPr>
        <w:t>四是突出设施资源建设和整合。以市场需求为导向，迎合交通物流市场发展趋势，重点在公铁、公水、铁水等多式联运项目、供应链平台项目、公路港优化升级项目上加大建设投入，搭建与各种品类货品流通需求无缝对接，区域和城乡互联互通的流通大平台、大基地。</w:t>
      </w:r>
    </w:p>
    <w:p w14:paraId="0EFA66EC">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baseline"/>
        <w:rPr>
          <w:rFonts w:hint="eastAsia" w:ascii="仿宋_GB2312" w:hAnsi="仿宋_GB2312" w:eastAsia="仿宋_GB2312"/>
          <w:sz w:val="32"/>
          <w:szCs w:val="32"/>
          <w:lang w:val="en-US" w:eastAsia="zh-CN"/>
        </w:rPr>
      </w:pPr>
      <w:r>
        <w:rPr>
          <w:rFonts w:hint="eastAsia" w:ascii="仿宋_GB2312" w:hAnsi="仿宋_GB2312" w:eastAsia="仿宋_GB2312"/>
          <w:sz w:val="32"/>
          <w:szCs w:val="32"/>
          <w:lang w:val="en-US" w:eastAsia="zh-CN"/>
        </w:rPr>
        <w:t>五是突出物流服务创新和提升。整合大宗货物、应急物资、军工保障、城市消费品、外贸货物市场需求，打造流通环节需求的交通物流市场，推进鄂西北及周边地区主要品类货物资源向物流园区聚合，通过完善的市场服务，拉动建材、棉纺织、化工、煤炭、农产品等主要品类流通中心向襄州聚集，实现货值货量大幅跃升。如：钢材年交易量可达100万吨，货值60亿元；棉纺织品年交易量可达40万吨，货值70亿元。</w:t>
      </w:r>
    </w:p>
    <w:p w14:paraId="70C06B87">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baseline"/>
        <w:rPr>
          <w:rFonts w:hint="eastAsia"/>
          <w:lang w:val="en-US" w:eastAsia="zh-CN"/>
        </w:rPr>
      </w:pPr>
      <w:r>
        <w:rPr>
          <w:rFonts w:hint="eastAsia" w:ascii="仿宋_GB2312" w:hAnsi="仿宋_GB2312" w:eastAsia="仿宋_GB2312" w:cs="仿宋_GB2312"/>
          <w:sz w:val="32"/>
          <w:szCs w:val="32"/>
          <w:lang w:val="en-US" w:eastAsia="zh-CN"/>
        </w:rPr>
        <w:t>总之，在“十五五”期间，我们将积极抢抓“襄十随神”城市群一体化发展、汉江生态经济带建设机遇，以</w:t>
      </w:r>
      <w:r>
        <w:rPr>
          <w:rFonts w:hint="eastAsia" w:ascii="仿宋" w:hAnsi="仿宋" w:eastAsia="仿宋" w:cs="仿宋"/>
          <w:color w:val="auto"/>
          <w:kern w:val="2"/>
          <w:sz w:val="32"/>
          <w:szCs w:val="32"/>
          <w:lang w:val="en-US" w:eastAsia="zh-CN"/>
        </w:rPr>
        <w:t>打造国家物流枢纽承载城市核心区为主要目标，</w:t>
      </w:r>
      <w:bookmarkStart w:id="0" w:name="_GoBack"/>
      <w:bookmarkEnd w:id="0"/>
      <w:r>
        <w:rPr>
          <w:rFonts w:hint="eastAsia" w:ascii="仿宋_GB2312" w:hAnsi="仿宋_GB2312" w:eastAsia="仿宋_GB2312" w:cs="仿宋_GB2312"/>
          <w:sz w:val="32"/>
          <w:szCs w:val="32"/>
          <w:lang w:val="en-US" w:eastAsia="zh-CN"/>
        </w:rPr>
        <w:t>进一步加大重点物流项目建设和运营服务力度，整合物流产业各方资源，用好大通道，实现大联通，完善大网络，为</w:t>
      </w:r>
      <w:r>
        <w:rPr>
          <w:rFonts w:hint="eastAsia" w:ascii="仿宋_GB2312" w:hAnsi="仿宋_GB2312" w:eastAsia="仿宋_GB2312" w:cs="仿宋_GB2312"/>
          <w:sz w:val="32"/>
          <w:szCs w:val="32"/>
          <w:lang w:val="zh-CN" w:eastAsia="zh-CN"/>
        </w:rPr>
        <w:t>建设</w:t>
      </w:r>
      <w:r>
        <w:rPr>
          <w:rFonts w:hint="eastAsia" w:ascii="仿宋" w:hAnsi="仿宋" w:eastAsia="仿宋" w:cs="仿宋"/>
          <w:color w:val="auto"/>
          <w:kern w:val="2"/>
          <w:sz w:val="32"/>
          <w:szCs w:val="32"/>
          <w:lang w:val="en-US" w:eastAsia="zh-CN"/>
        </w:rPr>
        <w:t>国家物流枢纽承载城市作出襄州贡献</w:t>
      </w:r>
      <w:r>
        <w:rPr>
          <w:rFonts w:hint="eastAsia" w:ascii="仿宋_GB2312" w:hAnsi="仿宋_GB2312" w:eastAsia="仿宋_GB2312"/>
          <w:kern w:val="2"/>
          <w:sz w:val="32"/>
          <w:szCs w:val="32"/>
          <w:lang w:val="zh-CN" w:eastAsia="zh-CN" w:bidi="ar-SA"/>
        </w:rPr>
        <w:t>。</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3"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PingFang SC">
    <w:altName w:val="Latha"/>
    <w:panose1 w:val="00000000000000000000"/>
    <w:charset w:val="00"/>
    <w:family w:val="auto"/>
    <w:pitch w:val="default"/>
    <w:sig w:usb0="00000000" w:usb1="00000000" w:usb2="00000000" w:usb3="00000000" w:csb0="00040001" w:csb1="00000000"/>
  </w:font>
  <w:font w:name="Latha">
    <w:panose1 w:val="020B0604020202020204"/>
    <w:charset w:val="00"/>
    <w:family w:val="auto"/>
    <w:pitch w:val="default"/>
    <w:sig w:usb0="00100003" w:usb1="00000000" w:usb2="00000000" w:usb3="00000000" w:csb0="00000001" w:csb1="00000000"/>
  </w:font>
  <w:font w:name="方正大标宋简体">
    <w:altName w:val="微软雅黑"/>
    <w:panose1 w:val="02010601030101010101"/>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827EE">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5D878A">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D5D878A">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419273"/>
    <w:multiLevelType w:val="singleLevel"/>
    <w:tmpl w:val="B6419273"/>
    <w:lvl w:ilvl="0" w:tentative="0">
      <w:start w:val="1"/>
      <w:numFmt w:val="chineseCounting"/>
      <w:suff w:val="nothing"/>
      <w:lvlText w:val="%1、"/>
      <w:lvlJc w:val="left"/>
      <w:pPr>
        <w:ind w:left="-10"/>
      </w:pPr>
      <w:rPr>
        <w:rFonts w:hint="eastAsia"/>
      </w:rPr>
    </w:lvl>
  </w:abstractNum>
  <w:abstractNum w:abstractNumId="1">
    <w:nsid w:val="F9699C6A"/>
    <w:multiLevelType w:val="singleLevel"/>
    <w:tmpl w:val="F9699C6A"/>
    <w:lvl w:ilvl="0" w:tentative="0">
      <w:start w:val="1"/>
      <w:numFmt w:val="chineseCounting"/>
      <w:suff w:val="nothing"/>
      <w:lvlText w:val="（%1）"/>
      <w:lvlJc w:val="left"/>
      <w:pPr>
        <w:ind w:left="-13"/>
      </w:pPr>
      <w:rPr>
        <w:rFonts w:hint="eastAsia" w:ascii="楷体" w:hAnsi="楷体" w:eastAsia="楷体" w:cs="楷体"/>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0A489D"/>
    <w:rsid w:val="008C0EB7"/>
    <w:rsid w:val="00E02546"/>
    <w:rsid w:val="01A26531"/>
    <w:rsid w:val="01D57774"/>
    <w:rsid w:val="02522E23"/>
    <w:rsid w:val="031D7E86"/>
    <w:rsid w:val="050A489D"/>
    <w:rsid w:val="05C51163"/>
    <w:rsid w:val="05F03B21"/>
    <w:rsid w:val="06127902"/>
    <w:rsid w:val="06413C6A"/>
    <w:rsid w:val="08767B94"/>
    <w:rsid w:val="08CD718B"/>
    <w:rsid w:val="09132ABC"/>
    <w:rsid w:val="0A3F562B"/>
    <w:rsid w:val="0AA26AE7"/>
    <w:rsid w:val="0B987937"/>
    <w:rsid w:val="0C115F38"/>
    <w:rsid w:val="0E9B668C"/>
    <w:rsid w:val="0EF26B10"/>
    <w:rsid w:val="0F17640F"/>
    <w:rsid w:val="0FF74FC7"/>
    <w:rsid w:val="0FFE6B34"/>
    <w:rsid w:val="109232CC"/>
    <w:rsid w:val="112016F0"/>
    <w:rsid w:val="115D0C8D"/>
    <w:rsid w:val="121A5BD7"/>
    <w:rsid w:val="12AF6B2D"/>
    <w:rsid w:val="12B913E7"/>
    <w:rsid w:val="134011E9"/>
    <w:rsid w:val="15EC0277"/>
    <w:rsid w:val="18E705D4"/>
    <w:rsid w:val="19BD709C"/>
    <w:rsid w:val="1BC21266"/>
    <w:rsid w:val="1C7C6DD7"/>
    <w:rsid w:val="1DB911E8"/>
    <w:rsid w:val="1DBC3B62"/>
    <w:rsid w:val="1E39531B"/>
    <w:rsid w:val="1F6B587A"/>
    <w:rsid w:val="21CE5BF1"/>
    <w:rsid w:val="22CA08D5"/>
    <w:rsid w:val="23304743"/>
    <w:rsid w:val="241D20D5"/>
    <w:rsid w:val="244461A5"/>
    <w:rsid w:val="2470451B"/>
    <w:rsid w:val="24D67195"/>
    <w:rsid w:val="25B92548"/>
    <w:rsid w:val="27461FC8"/>
    <w:rsid w:val="28BD2D18"/>
    <w:rsid w:val="28C5084B"/>
    <w:rsid w:val="29056EA7"/>
    <w:rsid w:val="2ADC61A9"/>
    <w:rsid w:val="2B545D43"/>
    <w:rsid w:val="2E373860"/>
    <w:rsid w:val="2ECC2C20"/>
    <w:rsid w:val="2F185772"/>
    <w:rsid w:val="304A6D94"/>
    <w:rsid w:val="30C5280C"/>
    <w:rsid w:val="30E52AF3"/>
    <w:rsid w:val="31706BC3"/>
    <w:rsid w:val="32DF3007"/>
    <w:rsid w:val="32EC62ED"/>
    <w:rsid w:val="34D50482"/>
    <w:rsid w:val="35460619"/>
    <w:rsid w:val="366F58C3"/>
    <w:rsid w:val="36A313F2"/>
    <w:rsid w:val="3719779A"/>
    <w:rsid w:val="37E365D6"/>
    <w:rsid w:val="387F2B18"/>
    <w:rsid w:val="38FA57D3"/>
    <w:rsid w:val="3A044C0C"/>
    <w:rsid w:val="3A163EAD"/>
    <w:rsid w:val="3A21477A"/>
    <w:rsid w:val="3BFC237A"/>
    <w:rsid w:val="3C045E36"/>
    <w:rsid w:val="3D014191"/>
    <w:rsid w:val="3D214E41"/>
    <w:rsid w:val="3D315BA2"/>
    <w:rsid w:val="3D97146C"/>
    <w:rsid w:val="3E0F0303"/>
    <w:rsid w:val="3E6B4A10"/>
    <w:rsid w:val="413B187A"/>
    <w:rsid w:val="430F212D"/>
    <w:rsid w:val="43C57E9D"/>
    <w:rsid w:val="446B73BC"/>
    <w:rsid w:val="44F516F8"/>
    <w:rsid w:val="451F0659"/>
    <w:rsid w:val="46A8220A"/>
    <w:rsid w:val="470B1ACB"/>
    <w:rsid w:val="47542714"/>
    <w:rsid w:val="48212384"/>
    <w:rsid w:val="4C730FD4"/>
    <w:rsid w:val="4CFA2D0F"/>
    <w:rsid w:val="4DC80D4B"/>
    <w:rsid w:val="505E0DE6"/>
    <w:rsid w:val="506337A1"/>
    <w:rsid w:val="50CB3177"/>
    <w:rsid w:val="534551E1"/>
    <w:rsid w:val="54211937"/>
    <w:rsid w:val="55056220"/>
    <w:rsid w:val="552337CD"/>
    <w:rsid w:val="557A1C8C"/>
    <w:rsid w:val="572D7FEE"/>
    <w:rsid w:val="576218CE"/>
    <w:rsid w:val="57A6504D"/>
    <w:rsid w:val="57A87753"/>
    <w:rsid w:val="581F32E9"/>
    <w:rsid w:val="58850365"/>
    <w:rsid w:val="5ACB0528"/>
    <w:rsid w:val="5AF10695"/>
    <w:rsid w:val="5D3C06B4"/>
    <w:rsid w:val="5E8C0F12"/>
    <w:rsid w:val="5F4518E2"/>
    <w:rsid w:val="5F540783"/>
    <w:rsid w:val="617124AE"/>
    <w:rsid w:val="61AC17D9"/>
    <w:rsid w:val="62B56E03"/>
    <w:rsid w:val="639D3C17"/>
    <w:rsid w:val="63E532AD"/>
    <w:rsid w:val="640466DA"/>
    <w:rsid w:val="64095E6E"/>
    <w:rsid w:val="66592301"/>
    <w:rsid w:val="66C660B8"/>
    <w:rsid w:val="67F919E7"/>
    <w:rsid w:val="685369C7"/>
    <w:rsid w:val="68EF58EB"/>
    <w:rsid w:val="699955B1"/>
    <w:rsid w:val="6A006644"/>
    <w:rsid w:val="6A125861"/>
    <w:rsid w:val="6A4C1B82"/>
    <w:rsid w:val="6B4C781E"/>
    <w:rsid w:val="6C905B3E"/>
    <w:rsid w:val="6CE122FF"/>
    <w:rsid w:val="6CEA59A8"/>
    <w:rsid w:val="6D2D4971"/>
    <w:rsid w:val="6D547213"/>
    <w:rsid w:val="6E0F1491"/>
    <w:rsid w:val="6EE03B2B"/>
    <w:rsid w:val="70222A47"/>
    <w:rsid w:val="7240198C"/>
    <w:rsid w:val="73CD0024"/>
    <w:rsid w:val="741841F1"/>
    <w:rsid w:val="75090F30"/>
    <w:rsid w:val="75D92E07"/>
    <w:rsid w:val="76DD6795"/>
    <w:rsid w:val="76F5796F"/>
    <w:rsid w:val="77451C6E"/>
    <w:rsid w:val="78D00687"/>
    <w:rsid w:val="79905F73"/>
    <w:rsid w:val="7AA76E47"/>
    <w:rsid w:val="7AB90C29"/>
    <w:rsid w:val="7C570160"/>
    <w:rsid w:val="7D0351AA"/>
    <w:rsid w:val="7D2367F5"/>
    <w:rsid w:val="7E0F6E86"/>
    <w:rsid w:val="7FFB72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99"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uiPriority w:val="0"/>
    <w:pPr>
      <w:widowControl w:val="0"/>
      <w:jc w:val="both"/>
    </w:pPr>
    <w:rPr>
      <w:rFonts w:ascii="Times New Roman" w:hAnsi="Times New Roman" w:eastAsia="宋体" w:cs="Times New Roman"/>
      <w:kern w:val="2"/>
      <w:sz w:val="21"/>
      <w:lang w:val="en-US" w:eastAsia="zh-CN"/>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pPr>
      <w:spacing w:line="240" w:lineRule="auto"/>
      <w:ind w:left="420" w:leftChars="200" w:firstLine="420" w:firstLineChars="200"/>
    </w:pPr>
  </w:style>
  <w:style w:type="paragraph" w:styleId="3">
    <w:name w:val="Body Text Indent"/>
    <w:basedOn w:val="1"/>
    <w:next w:val="4"/>
    <w:qFormat/>
    <w:uiPriority w:val="0"/>
    <w:pPr>
      <w:spacing w:line="640" w:lineRule="exact"/>
      <w:ind w:left="183" w:leftChars="87" w:firstLine="900" w:firstLineChars="300"/>
    </w:pPr>
    <w:rPr>
      <w:sz w:val="30"/>
    </w:rPr>
  </w:style>
  <w:style w:type="paragraph" w:styleId="4">
    <w:name w:val="envelope return"/>
    <w:basedOn w:val="1"/>
    <w:qFormat/>
    <w:uiPriority w:val="99"/>
    <w:pPr>
      <w:snapToGrid w:val="0"/>
    </w:pPr>
    <w:rPr>
      <w:rFonts w:ascii="Arial" w:hAnsi="Arial"/>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HTML Preformatted"/>
    <w:basedOn w:val="1"/>
    <w:qFormat/>
    <w:uiPriority w:val="0"/>
    <w:pPr>
      <w:pBdr>
        <w:top w:val="none" w:color="auto" w:sz="0" w:space="0"/>
        <w:left w:val="none" w:color="auto" w:sz="0" w:space="0"/>
        <w:bottom w:val="none" w:color="auto" w:sz="0" w:space="0"/>
        <w:right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default" w:ascii="PingFang SC" w:hAnsi="PingFang SC" w:eastAsia="PingFang SC" w:cs="PingFang SC"/>
      <w:kern w:val="0"/>
      <w:sz w:val="24"/>
      <w:szCs w:val="24"/>
      <w:lang w:val="en-US" w:eastAsia="zh-CN" w:bidi="ar"/>
    </w:rPr>
  </w:style>
  <w:style w:type="paragraph" w:styleId="8">
    <w:name w:val="Title"/>
    <w:basedOn w:val="1"/>
    <w:qFormat/>
    <w:uiPriority w:val="0"/>
    <w:pPr>
      <w:spacing w:before="240" w:beforeLines="0" w:after="60" w:afterLines="0"/>
      <w:jc w:val="center"/>
      <w:outlineLvl w:val="0"/>
    </w:pPr>
    <w:rPr>
      <w:rFonts w:ascii="Arial" w:hAnsi="Arial" w:eastAsia="方正大标宋简体" w:cs="Arial"/>
      <w:b/>
      <w:bCs/>
      <w:sz w:val="44"/>
      <w:szCs w:val="32"/>
    </w:rPr>
  </w:style>
  <w:style w:type="paragraph" w:customStyle="1" w:styleId="11">
    <w:name w:val="p0"/>
    <w:basedOn w:val="1"/>
    <w:qFormat/>
    <w:uiPriority w:val="0"/>
    <w:pPr>
      <w:widowControl/>
    </w:pPr>
    <w:rPr>
      <w:kern w:val="0"/>
      <w:szCs w:val="21"/>
    </w:rPr>
  </w:style>
  <w:style w:type="paragraph" w:customStyle="1"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7573</Words>
  <Characters>7865</Characters>
  <Lines>0</Lines>
  <Paragraphs>0</Paragraphs>
  <TotalTime>19</TotalTime>
  <ScaleCrop>false</ScaleCrop>
  <LinksUpToDate>false</LinksUpToDate>
  <CharactersWithSpaces>8236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2019-07-29T04:28:00Z</dcterms:created>
  <dc:creator>Administrator</dc:creator>
  <cp:lastModifiedBy>Administrator</cp:lastModifiedBy>
  <dcterms:modified xsi:type="dcterms:W3CDTF">2025-11-10T08:48:44Z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291C8DC594F04C2690B447AECF89C9E2_13</vt:lpwstr>
  </property>
  <property fmtid="{D5CDD505-2E9C-101B-9397-08002B2CF9AE}" pid="4" name="KSOTemplateDocerSaveRecord">
    <vt:lpwstr>eyJoZGlkIjoiNGI3ZThiZmZjMjQ0M2FmZGFiYjAzNjc1MTkyYmY4YmYifQ==</vt:lpwstr>
  </property>
</Properties>
</file>