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6D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（一）地主导产业发展状况</w:t>
      </w:r>
      <w:bookmarkStart w:id="0" w:name="_GoBack"/>
      <w:bookmarkEnd w:id="0"/>
    </w:p>
    <w:p w14:paraId="2BE11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襄州区产业集聚发展。经过多年的发展，全区形成了农副产品加工、机电汽配、装备制造、纺织服装四大支柱产业。农副产品加工业方面，发挥农副产品资源丰富的优势，形成了以正大襄阳100万头生猪产业化项目、襄阳鲁花食用油为代表的农产品精深加工产业。机电汽配产业方面，发挥紧邻东风公司襄阳基地的优势，引进长源东谷、邦乐车桥、鹰牌轴承等一批汽配龙头企业，形成了发动机、车桥、电气、仪表等关键总成的主要生产基地。装备制造产业方面，依托襄阳制造业产业基础，南车、时瑞达等骨干企业得到快速成长，东风井关农业机械、武钢重材等引进项目建设进展良好。加快培育轨道交通、通用航空、绿色智能铸造等新兴产业集群。纺织服装产业方面，发挥襄州纺织传统优势、技术优势和人力资源优势，形成了纺织服装产业体系。同时襄州作为襄阳市现代物流业核心功能区，依托独有的区位优势和交通优势,相继建设了光彩国际物流园、本昌钢铁物流园、东风合运商品车储运中心等大型物流园区。园区各具特色。</w:t>
      </w:r>
    </w:p>
    <w:p w14:paraId="42E02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襄州区通过集群式发展模式，以优质的政务服务、齐全的基础设施为保障，加快传统企业升级改造步伐，逐步构建起以纺织服装、农产品加工、汽车及零部件、装备制造四大主导产业和以新能源新材料、电子信息、智能制造为代表的“4+N”现代产业体系，持续激发县域经济发展活力。在产业集群培育方面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结合资源禀赋、区位条件、产业基础、发展潜力，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紧扣“51020”现代产业集群，积极创建襄州区农产品（食品）加工产业集群、襄州区轨道交通装备制造与智能运维产业集群。其中，轨道交通装备制造与智能运维产业集群成功入选省“两业融合”标杆产业集群和省县域特色产业集群名单。按照省发改委要求，2025年我区上报了农产品加工业、装备制造业、纺织服装业3个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根植性主导产业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 w14:paraId="573B1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left"/>
        <w:textAlignment w:val="auto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二、</w:t>
      </w: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存在的问题</w:t>
      </w:r>
    </w:p>
    <w:p w14:paraId="66A14CD4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11"/>
          <w:right w:val="none" w:color="000000" w:sz="0" w:space="0"/>
        </w:pBdr>
        <w:kinsoku/>
        <w:wordWrap/>
        <w:overflowPunct/>
        <w:topLinePunct w:val="0"/>
        <w:autoSpaceDE/>
        <w:autoSpaceDN w:val="0"/>
        <w:bidi w:val="0"/>
        <w:adjustRightInd w:val="0"/>
        <w:snapToGrid w:val="0"/>
        <w:spacing w:line="540" w:lineRule="exact"/>
        <w:ind w:firstLine="640" w:firstLineChars="200"/>
        <w:jc w:val="left"/>
        <w:textAlignment w:val="auto"/>
        <w:outlineLvl w:val="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（一）主导产业竞争力不强。部分产业集群的龙头企业带动作用有限，产业链上下游协同效应不足，导致产业集群的整体竞争力有待提升。一些传统产业在技术创新、品牌建设等方面相对滞后，难以适应市场变化和竞争压力。</w:t>
      </w:r>
    </w:p>
    <w:p w14:paraId="64E85939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11"/>
          <w:right w:val="none" w:color="000000" w:sz="0" w:space="0"/>
        </w:pBdr>
        <w:kinsoku/>
        <w:wordWrap/>
        <w:overflowPunct/>
        <w:topLinePunct w:val="0"/>
        <w:autoSpaceDE/>
        <w:autoSpaceDN w:val="0"/>
        <w:bidi w:val="0"/>
        <w:adjustRightInd w:val="0"/>
        <w:snapToGrid w:val="0"/>
        <w:spacing w:line="540" w:lineRule="exact"/>
        <w:ind w:firstLine="640" w:firstLineChars="200"/>
        <w:jc w:val="left"/>
        <w:textAlignment w:val="auto"/>
        <w:outlineLvl w:val="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（二）要素制约凸显。襄州经开区扩区调区后，随着国土空间规划“三区三线”划定实施，特别是城镇开发边界的划定，限定了建设用地总量，扣减已实施落地建设用地后，开发区可用于工业项目及配套设施建设用地十分有限。此外，园区电价不占优势，如铸造、锻造、纺织、机加等行业企业，都是用电大户，导致企业用电成本过高。</w:t>
      </w:r>
    </w:p>
    <w:p w14:paraId="45FC7BF4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11"/>
          <w:right w:val="none" w:color="000000" w:sz="0" w:space="0"/>
        </w:pBdr>
        <w:kinsoku/>
        <w:wordWrap/>
        <w:overflowPunct/>
        <w:topLinePunct w:val="0"/>
        <w:autoSpaceDE/>
        <w:autoSpaceDN w:val="0"/>
        <w:bidi w:val="0"/>
        <w:adjustRightInd w:val="0"/>
        <w:snapToGrid w:val="0"/>
        <w:spacing w:line="540" w:lineRule="exact"/>
        <w:ind w:firstLine="640" w:firstLineChars="200"/>
        <w:jc w:val="left"/>
        <w:textAlignment w:val="auto"/>
        <w:outlineLvl w:val="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（三）园区承载能力不够强。部分产业园区的基础设施建设滞后，如道路、供水、供电、污水处理等设施不完善，无法满足企业的发展需求。如双沟工业园区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污水管网严重淤堵、溢流；镇区7.5万人目前无一处休闲活动场所和商业综合体，尤其不能满足园区企业需求。</w:t>
      </w:r>
    </w:p>
    <w:p w14:paraId="58953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41680"/>
    <w:rsid w:val="3CD56B70"/>
    <w:rsid w:val="3E9A1FA2"/>
    <w:rsid w:val="46AA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2025-11-03T02:32:46Z</dcterms:created>
  <dc:creator>Lenovo</dc:creator>
  <cp:lastModifiedBy>李pan</cp:lastModifiedBy>
  <dcterms:modified xsi:type="dcterms:W3CDTF">2025-11-03T02:39:04Z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eyJoZGlkIjoiM2I0MDQ2NDBlZTE0N2ExYmNiZTkxNDkzNWQ0NWVjODMiLCJ1c2VySWQiOiIyMjY3Mzg1MjAifQ==</vt:lpwstr>
  </property>
  <property fmtid="{D5CDD505-2E9C-101B-9397-08002B2CF9AE}" pid="4" name="ICV">
    <vt:lpwstr>C9AEF5C71A644F8AB0F7CA1F89561ACB_12</vt:lpwstr>
  </property>
</Properties>
</file>