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sz w:val="44"/>
          <w:szCs w:val="44"/>
          <w:lang w:eastAsia="zh-CN"/>
        </w:rPr>
      </w:pPr>
      <w:r>
        <w:rPr>
          <w:rFonts w:hint="eastAsia"/>
          <w:sz w:val="44"/>
          <w:szCs w:val="44"/>
          <w:lang w:eastAsia="zh-CN"/>
        </w:rPr>
        <w:t>重要民生商品价格调控</w:t>
      </w:r>
    </w:p>
    <w:p>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sz w:val="44"/>
          <w:szCs w:val="44"/>
          <w:lang w:val="en-US" w:eastAsia="zh-CN"/>
        </w:rPr>
      </w:pPr>
      <w:r>
        <w:rPr>
          <w:rFonts w:hint="eastAsia"/>
          <w:sz w:val="44"/>
          <w:szCs w:val="44"/>
          <w:lang w:val="en-US" w:eastAsia="zh-CN"/>
        </w:rPr>
        <w:t>2023年工作总结和2024年计划</w:t>
      </w:r>
    </w:p>
    <w:p>
      <w:pPr>
        <w:keepNext w:val="0"/>
        <w:keepLines w:val="0"/>
        <w:pageBreakBefore w:val="0"/>
        <w:kinsoku/>
        <w:wordWrap/>
        <w:overflowPunct/>
        <w:topLinePunct w:val="0"/>
        <w:autoSpaceDE/>
        <w:autoSpaceDN/>
        <w:bidi w:val="0"/>
        <w:adjustRightInd/>
        <w:snapToGrid/>
        <w:spacing w:line="560" w:lineRule="exact"/>
        <w:ind w:left="0" w:leftChars="0" w:right="0" w:rightChars="0"/>
        <w:jc w:val="center"/>
        <w:textAlignment w:val="auto"/>
        <w:rPr>
          <w:rFonts w:hint="eastAsia" w:ascii="楷体" w:hAnsi="楷体" w:eastAsia="楷体" w:cs="楷体"/>
          <w:sz w:val="28"/>
          <w:szCs w:val="28"/>
          <w:lang w:val="en-US" w:eastAsia="zh-CN"/>
        </w:rPr>
      </w:pPr>
      <w:r>
        <w:rPr>
          <w:rFonts w:hint="eastAsia" w:ascii="楷体" w:hAnsi="楷体" w:eastAsia="楷体" w:cs="楷体"/>
          <w:sz w:val="32"/>
          <w:szCs w:val="32"/>
          <w:lang w:val="en-US" w:eastAsia="zh-CN"/>
        </w:rPr>
        <w:t>区交通物流发展服务中心</w:t>
      </w:r>
    </w:p>
    <w:p>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sz w:val="44"/>
          <w:szCs w:val="44"/>
          <w:lang w:val="en-US" w:eastAsia="zh-CN"/>
        </w:rPr>
      </w:pPr>
    </w:p>
    <w:p>
      <w:pPr>
        <w:keepNext w:val="0"/>
        <w:keepLines w:val="0"/>
        <w:pageBreakBefore w:val="0"/>
        <w:kinsoku/>
        <w:wordWrap/>
        <w:overflowPunct/>
        <w:topLinePunct w:val="0"/>
        <w:autoSpaceDE/>
        <w:autoSpaceDN/>
        <w:bidi w:val="0"/>
        <w:adjustRightInd/>
        <w:snapToGrid/>
        <w:spacing w:line="560" w:lineRule="exact"/>
        <w:jc w:val="both"/>
        <w:textAlignment w:val="auto"/>
        <w:rPr>
          <w:rFonts w:hint="eastAsia" w:ascii="仿宋" w:hAnsi="仿宋" w:eastAsia="仿宋" w:cs="仿宋"/>
          <w:sz w:val="32"/>
          <w:szCs w:val="32"/>
          <w:lang w:val="en-US" w:eastAsia="zh-CN"/>
        </w:rPr>
      </w:pPr>
      <w:r>
        <w:rPr>
          <w:rFonts w:hint="eastAsia"/>
          <w:sz w:val="32"/>
          <w:szCs w:val="32"/>
          <w:lang w:val="en-US" w:eastAsia="zh-CN"/>
        </w:rPr>
        <w:t xml:space="preserve">   </w:t>
      </w:r>
      <w:r>
        <w:rPr>
          <w:rFonts w:hint="eastAsia" w:ascii="仿宋" w:hAnsi="仿宋" w:eastAsia="仿宋" w:cs="仿宋"/>
          <w:sz w:val="32"/>
          <w:szCs w:val="32"/>
          <w:lang w:val="en-US" w:eastAsia="zh-CN"/>
        </w:rPr>
        <w:t xml:space="preserve"> 2023年来，我区重要民生商品到发运量与往年基本持平，伴有小幅波动。受物流市场供求关系决定，运输价格下滑明显，对民生商品销售价格影响较小。涉及重要民生的粮食、蔬菜、猪肉、畜禽产品、水产品等在仓储、包装、运输、配送等环节均形成了固定服务链条，基础设施、</w:t>
      </w:r>
      <w:r>
        <w:rPr>
          <w:rFonts w:hint="eastAsia" w:ascii="仿宋" w:hAnsi="仿宋" w:eastAsia="仿宋" w:cs="仿宋"/>
          <w:sz w:val="32"/>
          <w:szCs w:val="32"/>
          <w:lang w:val="en-US" w:eastAsia="zh-CN"/>
        </w:rPr>
        <w:t>运</w:t>
      </w:r>
      <w:r>
        <w:rPr>
          <w:rFonts w:hint="eastAsia" w:ascii="仿宋" w:hAnsi="仿宋" w:eastAsia="仿宋" w:cs="仿宋"/>
          <w:sz w:val="32"/>
          <w:szCs w:val="32"/>
          <w:lang w:val="en-US" w:eastAsia="zh-CN"/>
        </w:rPr>
        <w:t>载工具、通道条件等已基本能够满足当前民生供给需求。</w:t>
      </w:r>
    </w:p>
    <w:p>
      <w:pPr>
        <w:keepNext w:val="0"/>
        <w:keepLines w:val="0"/>
        <w:pageBreakBefore w:val="0"/>
        <w:kinsoku/>
        <w:wordWrap/>
        <w:overflowPunct/>
        <w:topLinePunct w:val="0"/>
        <w:autoSpaceDE/>
        <w:autoSpaceDN/>
        <w:bidi w:val="0"/>
        <w:adjustRightInd/>
        <w:snapToGrid/>
        <w:spacing w:line="560" w:lineRule="exact"/>
        <w:ind w:firstLine="64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一、2023年工作进展情况</w:t>
      </w:r>
    </w:p>
    <w:p>
      <w:pPr>
        <w:keepNext w:val="0"/>
        <w:keepLines w:val="0"/>
        <w:pageBreakBefore w:val="0"/>
        <w:kinsoku/>
        <w:wordWrap/>
        <w:overflowPunct/>
        <w:topLinePunct w:val="0"/>
        <w:autoSpaceDE/>
        <w:autoSpaceDN/>
        <w:bidi w:val="0"/>
        <w:adjustRightInd/>
        <w:snapToGrid/>
        <w:spacing w:line="56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我区重要民生商品向市场供给的方式多样，供货商的采取不同方式配送至卖场，作为交通物流部门主要做好外来货物、运出货物、区内货物三个方面的物流服务工作。</w:t>
      </w:r>
    </w:p>
    <w:p>
      <w:pPr>
        <w:keepNext w:val="0"/>
        <w:keepLines w:val="0"/>
        <w:pageBreakBefore w:val="0"/>
        <w:kinsoku/>
        <w:wordWrap/>
        <w:overflowPunct/>
        <w:topLinePunct w:val="0"/>
        <w:autoSpaceDE/>
        <w:autoSpaceDN/>
        <w:bidi w:val="0"/>
        <w:adjustRightInd/>
        <w:snapToGrid/>
        <w:spacing w:line="56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是外来货物物流需求情况。粮食制成品主要通过各品牌从外依靠公路运输配送至卖场。部分品牌猪肉、畜禽及制品通过冷链货车从公路运至冷库，再配送至卖场。外来的蔬菜、水果和鲜活水产品，由经销商从公路运至农产品批发市场，再分销至各卖场。这些货物由货主在网络平台上找车完成运输，运费可比较，运价便宜。如康福达冷库和批发市场。</w:t>
      </w:r>
    </w:p>
    <w:p>
      <w:pPr>
        <w:keepNext w:val="0"/>
        <w:keepLines w:val="0"/>
        <w:pageBreakBefore w:val="0"/>
        <w:kinsoku/>
        <w:wordWrap/>
        <w:overflowPunct/>
        <w:topLinePunct w:val="0"/>
        <w:autoSpaceDE/>
        <w:autoSpaceDN/>
        <w:bidi w:val="0"/>
        <w:adjustRightInd/>
        <w:snapToGrid/>
        <w:spacing w:line="56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是运出货物物流需求情况。主要是本地产小麦、稻谷、玉米和部分蔬菜、猪肉。其中小麦、稻谷、玉米等大宗农产品主要用公铁联运方式从中车、国储两个物流园外运，粮油制品、水果蔬菜由经销商网上找车外运至分销地或通过电商+快递销售，猪肉主要是正大肉食，自建有冷库，有长期合作的冷链运输车队，保障正大肉食安全精准的向外配运。</w:t>
      </w:r>
    </w:p>
    <w:p>
      <w:pPr>
        <w:keepNext w:val="0"/>
        <w:keepLines w:val="0"/>
        <w:pageBreakBefore w:val="0"/>
        <w:kinsoku/>
        <w:wordWrap/>
        <w:overflowPunct/>
        <w:topLinePunct w:val="0"/>
        <w:autoSpaceDE/>
        <w:autoSpaceDN/>
        <w:bidi w:val="0"/>
        <w:adjustRightInd/>
        <w:snapToGrid/>
        <w:spacing w:line="56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是区内货物物流需求情况。粮油、猪肉、畜禽产品均已品牌化，生产商自备仓储、包装、运输、配送等物流服务链条，并有长期合作车辆。水果蔬菜通过卖场到产地收购后在菜场超市销售或通过电商+快递送达消费者。</w:t>
      </w:r>
    </w:p>
    <w:p>
      <w:pPr>
        <w:keepNext w:val="0"/>
        <w:keepLines w:val="0"/>
        <w:pageBreakBefore w:val="0"/>
        <w:numPr>
          <w:ilvl w:val="0"/>
          <w:numId w:val="1"/>
        </w:numPr>
        <w:kinsoku/>
        <w:wordWrap/>
        <w:overflowPunct/>
        <w:topLinePunct w:val="0"/>
        <w:autoSpaceDE/>
        <w:autoSpaceDN/>
        <w:bidi w:val="0"/>
        <w:adjustRightInd/>
        <w:snapToGrid/>
        <w:spacing w:line="560" w:lineRule="exact"/>
        <w:ind w:firstLine="64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存在的主要问题</w:t>
      </w:r>
    </w:p>
    <w:p>
      <w:pPr>
        <w:keepNext w:val="0"/>
        <w:keepLines w:val="0"/>
        <w:pageBreakBefore w:val="0"/>
        <w:numPr>
          <w:numId w:val="0"/>
        </w:numPr>
        <w:kinsoku/>
        <w:wordWrap/>
        <w:overflowPunct/>
        <w:topLinePunct w:val="0"/>
        <w:autoSpaceDE/>
        <w:autoSpaceDN/>
        <w:bidi w:val="0"/>
        <w:adjustRightInd/>
        <w:snapToGrid/>
        <w:spacing w:line="56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从物流环节来看，主要存在几个方面问题。一是农产品产地相对集中，但物流方式多样，蔬菜水果在统一运配方面需求加大集中度。二是冷链设施欠缺，产量过大时不利于产期保存。三是水运港口能力较小，不利于粮食、油料等大宗农产品降低运输成本。四是农村快递服务能力不足，不利于水果蔬菜等民生商品通过电商+快递渠道顺利流通。</w:t>
      </w:r>
    </w:p>
    <w:p>
      <w:pPr>
        <w:keepNext w:val="0"/>
        <w:keepLines w:val="0"/>
        <w:pageBreakBefore w:val="0"/>
        <w:numPr>
          <w:numId w:val="0"/>
        </w:numPr>
        <w:kinsoku/>
        <w:wordWrap/>
        <w:overflowPunct/>
        <w:topLinePunct w:val="0"/>
        <w:autoSpaceDE/>
        <w:autoSpaceDN/>
        <w:bidi w:val="0"/>
        <w:adjustRightInd/>
        <w:snapToGrid/>
        <w:spacing w:line="560" w:lineRule="exact"/>
        <w:ind w:firstLine="64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三、2024年工作计划</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2024年，本中心主要围绕项目规划落实、招商引资、服务建设等环节，强化专班力量，服务好园区项目建设运营，为市场提供更好的基础平台。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是对在建的康瑞达冷链、圆通快递跟踪推进，对拟建的安得智联电商物流园等项目强化引导。二是对中车物流园二期、国储物流转迁、唐白河赵寨水运物流等提前谋划。三是围绕区委、区政府的襄州国际陆港、农产品加工储备交易中心等重点工作出谋划策，推进项目引进。四是支持以邮快合作为基础的襄州区寄递物流体系项目建设，重点推进区级共配中心、镇级综合服务站、村级网点建设分批分步落实，将区、镇、村三级配送网络建设引向深入，推进项目与商务、供销企业联合开展“电商+物流”示范园建设，进一步提升襄州区农村交通物流项目建设整合城乡物流配送资源能力，将货物运量做大、服务提升。</w:t>
      </w:r>
    </w:p>
    <w:p>
      <w:pPr>
        <w:pStyle w:val="2"/>
        <w:rPr>
          <w:rFonts w:hint="eastAsia" w:ascii="仿宋" w:hAnsi="仿宋" w:eastAsia="仿宋" w:cs="仿宋"/>
          <w:sz w:val="32"/>
          <w:szCs w:val="32"/>
          <w:lang w:val="en-US" w:eastAsia="zh-CN"/>
        </w:rPr>
      </w:pPr>
    </w:p>
    <w:p>
      <w:pPr>
        <w:pStyle w:val="2"/>
        <w:rPr>
          <w:rFonts w:hint="eastAsia" w:ascii="仿宋" w:hAnsi="仿宋" w:eastAsia="仿宋" w:cs="仿宋"/>
          <w:sz w:val="32"/>
          <w:szCs w:val="32"/>
          <w:lang w:val="en-US" w:eastAsia="zh-CN"/>
        </w:rPr>
      </w:pPr>
    </w:p>
    <w:p>
      <w:pPr>
        <w:pStyle w:val="2"/>
        <w:keepNext w:val="0"/>
        <w:keepLines w:val="0"/>
        <w:pageBreakBefore w:val="0"/>
        <w:kinsoku/>
        <w:wordWrap/>
        <w:overflowPunct/>
        <w:topLinePunct w:val="0"/>
        <w:autoSpaceDE/>
        <w:autoSpaceDN/>
        <w:bidi w:val="0"/>
        <w:adjustRightInd/>
        <w:snapToGrid/>
        <w:spacing w:line="560" w:lineRule="exac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                            </w:t>
      </w:r>
      <w:bookmarkStart w:id="0" w:name="_GoBack"/>
      <w:bookmarkEnd w:id="0"/>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val="en-US" w:eastAsia="zh-CN"/>
        </w:rPr>
        <w:t>2024年1月12日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3" w:usb2="00000009" w:usb3="00000000" w:csb0="400001FF" w:csb1="FFFF0000"/>
  </w:font>
  <w:font w:name="宋体">
    <w:panose1 w:val="02010600030101010101"/>
    <w:charset w:val="88"/>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A2FAAD"/>
    <w:multiLevelType w:val="singleLevel"/>
    <w:tmpl w:val="20A2FAAD"/>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I3ZThiZmZjMjQ0M2FmZGFiYjAzNjc1MTkyYmY4YmYifQ=="/>
  </w:docVars>
  <w:rsids>
    <w:rsidRoot w:val="5B9D2131"/>
    <w:rsid w:val="5B9D2131"/>
    <w:rsid w:val="789411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customStyle="1" w:styleId="2">
    <w:name w:val="无间隔1"/>
    <w:autoRedefine/>
    <w:qFormat/>
    <w:uiPriority w:val="1"/>
    <w:rPr>
      <w:rFonts w:ascii="Times New Roman" w:hAnsi="Times New Roman" w:eastAsia="宋体" w:cs="Times New Roman"/>
      <w:sz w:val="22"/>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2024-01-12T07:00:00Z</dcterms:created>
  <dc:creator>Administrator</dc:creator>
  <cp:lastModifiedBy>Administrator</cp:lastModifiedBy>
  <dcterms:modified xsi:type="dcterms:W3CDTF">2024-01-12T08:20:26Z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3A67898C67E64D2DB2D2FAC252A7D76D_11</vt:lpwstr>
  </property>
</Properties>
</file>