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3E6F8">
      <w:pPr>
        <w:pStyle w:val="5"/>
        <w:jc w:val="center"/>
      </w:pPr>
      <w:bookmarkStart w:id="0" w:name="_GoBack"/>
      <w:bookmarkEnd w:id="0"/>
      <w:r>
        <w:rPr>
          <w:rFonts w:hint="eastAsia"/>
        </w:rPr>
        <w:t>襄州区物流</w:t>
      </w:r>
      <w:r>
        <w:rPr>
          <w:rFonts w:hint="eastAsia"/>
          <w:lang w:eastAsia="zh-CN"/>
        </w:rPr>
        <w:t>领域重点</w:t>
      </w:r>
      <w:r>
        <w:rPr>
          <w:rFonts w:hint="eastAsia"/>
        </w:rPr>
        <w:t>工作推进情况</w:t>
      </w:r>
    </w:p>
    <w:p w14:paraId="5051F100">
      <w:pPr>
        <w:spacing w:line="560" w:lineRule="exact"/>
        <w:ind w:firstLine="640" w:firstLineChars="200"/>
        <w:rPr>
          <w:rFonts w:hint="eastAsia" w:ascii="黑体" w:hAnsi="黑体" w:eastAsia="黑体"/>
          <w:sz w:val="32"/>
          <w:szCs w:val="32"/>
        </w:rPr>
      </w:pPr>
      <w:r>
        <w:rPr>
          <w:rFonts w:hint="eastAsia" w:ascii="黑体" w:hAnsi="黑体" w:eastAsia="黑体"/>
          <w:sz w:val="32"/>
          <w:szCs w:val="32"/>
        </w:rPr>
        <w:t>一、</w:t>
      </w:r>
      <w:r>
        <w:rPr>
          <w:rFonts w:hint="eastAsia" w:ascii="黑体" w:hAnsi="黑体" w:eastAsia="黑体"/>
          <w:sz w:val="32"/>
          <w:szCs w:val="32"/>
          <w:lang w:eastAsia="zh-CN"/>
        </w:rPr>
        <w:t>在建重点项目及推进情况</w:t>
      </w:r>
    </w:p>
    <w:p w14:paraId="65125D53">
      <w:pPr>
        <w:spacing w:line="560" w:lineRule="exact"/>
        <w:ind w:firstLine="640" w:firstLineChars="200"/>
        <w:rPr>
          <w:rFonts w:hint="eastAsia" w:ascii="仿宋_GB2312" w:hAnsi="仿宋" w:eastAsia="仿宋_GB2312" w:cs="仿宋"/>
          <w:sz w:val="32"/>
          <w:szCs w:val="32"/>
          <w:lang w:eastAsia="zh-CN"/>
        </w:rPr>
      </w:pPr>
      <w:r>
        <w:rPr>
          <w:rFonts w:hint="eastAsia" w:ascii="仿宋_GB2312" w:hAnsi="仿宋" w:eastAsia="仿宋_GB2312" w:cs="仿宋"/>
          <w:sz w:val="32"/>
          <w:szCs w:val="32"/>
        </w:rPr>
        <w:t xml:space="preserve"> 1、襄阳康瑞达冷链物流项目，</w:t>
      </w:r>
      <w:r>
        <w:rPr>
          <w:rFonts w:hint="eastAsia" w:ascii="仿宋_GB2312" w:hAnsi="仿宋" w:eastAsia="仿宋_GB2312" w:cs="仿宋"/>
          <w:sz w:val="32"/>
          <w:szCs w:val="32"/>
          <w:lang w:eastAsia="zh-CN"/>
        </w:rPr>
        <w:t>占地</w:t>
      </w:r>
      <w:r>
        <w:rPr>
          <w:rFonts w:hint="eastAsia" w:ascii="仿宋_GB2312" w:hAnsi="仿宋" w:eastAsia="仿宋_GB2312" w:cs="仿宋"/>
          <w:sz w:val="32"/>
          <w:szCs w:val="32"/>
          <w:lang w:val="en-US" w:eastAsia="zh-CN"/>
        </w:rPr>
        <w:t>120亩，</w:t>
      </w:r>
      <w:r>
        <w:rPr>
          <w:rFonts w:hint="eastAsia" w:ascii="仿宋_GB2312" w:hAnsi="仿宋" w:eastAsia="仿宋_GB2312" w:cs="仿宋"/>
          <w:sz w:val="32"/>
          <w:szCs w:val="32"/>
        </w:rPr>
        <w:t>总投资3.5亿元，主要建设冷链物流分拣车间4栋面积5万平方米，冷冻库4栋面积15.5万平方米及其他配套服务设施。项目分两期建设，目前一期已完成1# 冻库、1#分拣车间及相关配套设施，并已投入</w:t>
      </w:r>
      <w:r>
        <w:rPr>
          <w:rFonts w:hint="eastAsia" w:ascii="仿宋_GB2312" w:hAnsi="仿宋" w:eastAsia="仿宋_GB2312" w:cs="仿宋"/>
          <w:sz w:val="32"/>
          <w:szCs w:val="32"/>
          <w:lang w:eastAsia="zh-CN"/>
        </w:rPr>
        <w:t>运营</w:t>
      </w:r>
      <w:r>
        <w:rPr>
          <w:rFonts w:hint="eastAsia" w:ascii="仿宋_GB2312" w:hAnsi="仿宋" w:eastAsia="仿宋_GB2312" w:cs="仿宋"/>
          <w:sz w:val="32"/>
          <w:szCs w:val="32"/>
        </w:rPr>
        <w:t>，累计完成投资1.75亿元。</w:t>
      </w:r>
      <w:r>
        <w:rPr>
          <w:rFonts w:hint="eastAsia" w:ascii="仿宋_GB2312" w:hAnsi="仿宋" w:eastAsia="仿宋_GB2312" w:cs="仿宋"/>
          <w:sz w:val="32"/>
          <w:szCs w:val="32"/>
          <w:lang w:eastAsia="zh-CN"/>
        </w:rPr>
        <w:t>近期，该项目投资方根据市场客户需求，正在申请规划变更手续。</w:t>
      </w:r>
    </w:p>
    <w:p w14:paraId="02A3CDD6">
      <w:pPr>
        <w:spacing w:line="56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2、襄州区玖道智慧电商物流产业园项目，总投资</w:t>
      </w:r>
      <w:r>
        <w:rPr>
          <w:rFonts w:hint="eastAsia" w:ascii="仿宋_GB2312" w:hAnsi="仿宋" w:eastAsia="仿宋_GB2312" w:cs="仿宋"/>
          <w:sz w:val="32"/>
          <w:szCs w:val="32"/>
          <w:lang w:val="en-US" w:eastAsia="zh-CN"/>
        </w:rPr>
        <w:t>3</w:t>
      </w:r>
      <w:r>
        <w:rPr>
          <w:rFonts w:hint="eastAsia" w:ascii="仿宋_GB2312" w:hAnsi="仿宋" w:eastAsia="仿宋_GB2312" w:cs="仿宋"/>
          <w:sz w:val="32"/>
          <w:szCs w:val="32"/>
        </w:rPr>
        <w:t>亿元，项目</w:t>
      </w:r>
      <w:r>
        <w:rPr>
          <w:rFonts w:hint="eastAsia" w:ascii="仿宋_GB2312" w:hAnsi="仿宋" w:eastAsia="仿宋_GB2312" w:cs="仿宋"/>
          <w:sz w:val="32"/>
          <w:szCs w:val="32"/>
          <w:lang w:eastAsia="zh-CN"/>
        </w:rPr>
        <w:t>计划</w:t>
      </w:r>
      <w:r>
        <w:rPr>
          <w:rFonts w:hint="eastAsia" w:ascii="仿宋_GB2312" w:hAnsi="仿宋" w:eastAsia="仿宋_GB2312" w:cs="仿宋"/>
          <w:sz w:val="32"/>
          <w:szCs w:val="32"/>
        </w:rPr>
        <w:t>占地</w:t>
      </w:r>
      <w:r>
        <w:rPr>
          <w:rFonts w:hint="eastAsia" w:ascii="仿宋_GB2312" w:hAnsi="仿宋" w:eastAsia="仿宋_GB2312" w:cs="仿宋"/>
          <w:sz w:val="32"/>
          <w:szCs w:val="32"/>
          <w:lang w:val="en-US" w:eastAsia="zh-CN"/>
        </w:rPr>
        <w:t>200</w:t>
      </w:r>
      <w:r>
        <w:rPr>
          <w:rFonts w:hint="eastAsia" w:ascii="仿宋_GB2312" w:hAnsi="仿宋" w:eastAsia="仿宋_GB2312" w:cs="仿宋"/>
          <w:sz w:val="32"/>
          <w:szCs w:val="32"/>
        </w:rPr>
        <w:t>亩</w:t>
      </w:r>
      <w:r>
        <w:rPr>
          <w:rFonts w:hint="eastAsia" w:ascii="仿宋_GB2312" w:hAnsi="仿宋" w:eastAsia="仿宋_GB2312" w:cs="仿宋"/>
          <w:sz w:val="32"/>
          <w:szCs w:val="32"/>
          <w:lang w:eastAsia="zh-CN"/>
        </w:rPr>
        <w:t>。一期</w:t>
      </w:r>
      <w:r>
        <w:rPr>
          <w:rFonts w:hint="eastAsia" w:ascii="仿宋_GB2312" w:hAnsi="仿宋" w:eastAsia="仿宋_GB2312" w:cs="仿宋"/>
          <w:sz w:val="32"/>
          <w:szCs w:val="32"/>
          <w:lang w:val="en-US" w:eastAsia="zh-CN"/>
        </w:rPr>
        <w:t>99.5亩已于2024年6月开建，</w:t>
      </w:r>
      <w:r>
        <w:rPr>
          <w:rFonts w:hint="eastAsia" w:ascii="仿宋_GB2312" w:hAnsi="仿宋" w:eastAsia="仿宋_GB2312" w:cs="仿宋"/>
          <w:sz w:val="32"/>
          <w:szCs w:val="32"/>
        </w:rPr>
        <w:t>建设内容为2个标准化仓储设施和1栋综合楼，其中一号仓库面积2.1万平方米，二号仓库面积1.8万平方米，综合楼3层面积共2842平方米。目前，一号、二号分拣库主体工程及设备安装已完成，综合楼主体已完工</w:t>
      </w:r>
      <w:r>
        <w:rPr>
          <w:rFonts w:hint="eastAsia" w:ascii="仿宋_GB2312" w:hAnsi="仿宋" w:eastAsia="仿宋_GB2312" w:cs="仿宋"/>
          <w:sz w:val="32"/>
          <w:szCs w:val="32"/>
          <w:lang w:eastAsia="zh-CN"/>
        </w:rPr>
        <w:t>进图内部装修。</w:t>
      </w:r>
      <w:r>
        <w:rPr>
          <w:rFonts w:hint="eastAsia" w:ascii="仿宋_GB2312" w:hAnsi="仿宋" w:eastAsia="仿宋_GB2312" w:cs="仿宋"/>
          <w:sz w:val="32"/>
          <w:szCs w:val="32"/>
        </w:rPr>
        <w:t>京东</w:t>
      </w:r>
      <w:r>
        <w:rPr>
          <w:rFonts w:hint="eastAsia" w:ascii="仿宋_GB2312" w:hAnsi="仿宋" w:eastAsia="仿宋_GB2312" w:cs="仿宋"/>
          <w:sz w:val="32"/>
          <w:szCs w:val="32"/>
          <w:lang w:eastAsia="zh-CN"/>
        </w:rPr>
        <w:t>襄阳公司</w:t>
      </w:r>
      <w:r>
        <w:rPr>
          <w:rFonts w:hint="eastAsia" w:ascii="仿宋_GB2312" w:hAnsi="仿宋" w:eastAsia="仿宋_GB2312" w:cs="仿宋"/>
          <w:sz w:val="32"/>
          <w:szCs w:val="32"/>
        </w:rPr>
        <w:t>部分设备已入</w:t>
      </w:r>
      <w:r>
        <w:rPr>
          <w:rFonts w:hint="eastAsia" w:ascii="仿宋_GB2312" w:hAnsi="仿宋" w:eastAsia="仿宋_GB2312" w:cs="仿宋"/>
          <w:sz w:val="32"/>
          <w:szCs w:val="32"/>
          <w:lang w:eastAsia="zh-CN"/>
        </w:rPr>
        <w:t>库</w:t>
      </w:r>
      <w:r>
        <w:rPr>
          <w:rFonts w:hint="eastAsia" w:ascii="仿宋_GB2312" w:hAnsi="仿宋" w:eastAsia="仿宋_GB2312" w:cs="仿宋"/>
          <w:sz w:val="32"/>
          <w:szCs w:val="32"/>
        </w:rPr>
        <w:t>安装</w:t>
      </w:r>
      <w:r>
        <w:rPr>
          <w:rFonts w:hint="eastAsia" w:ascii="仿宋_GB2312" w:hAnsi="仿宋" w:eastAsia="仿宋_GB2312" w:cs="仿宋"/>
          <w:sz w:val="32"/>
          <w:szCs w:val="32"/>
          <w:lang w:eastAsia="zh-CN"/>
        </w:rPr>
        <w:t>完成，</w:t>
      </w:r>
      <w:r>
        <w:rPr>
          <w:rFonts w:hint="eastAsia" w:ascii="仿宋_GB2312" w:hAnsi="仿宋" w:eastAsia="仿宋_GB2312" w:cs="仿宋"/>
          <w:sz w:val="32"/>
          <w:szCs w:val="32"/>
          <w:lang w:val="en-US" w:eastAsia="zh-CN"/>
        </w:rPr>
        <w:t>4月份已</w:t>
      </w:r>
      <w:r>
        <w:rPr>
          <w:rFonts w:hint="eastAsia" w:ascii="仿宋_GB2312" w:hAnsi="仿宋" w:eastAsia="仿宋_GB2312" w:cs="仿宋"/>
          <w:sz w:val="32"/>
          <w:szCs w:val="32"/>
        </w:rPr>
        <w:t>开始运营。</w:t>
      </w:r>
      <w:r>
        <w:rPr>
          <w:rFonts w:hint="eastAsia" w:ascii="仿宋_GB2312" w:hAnsi="仿宋" w:eastAsia="仿宋_GB2312" w:cs="仿宋"/>
          <w:sz w:val="32"/>
          <w:szCs w:val="32"/>
          <w:lang w:eastAsia="zh-CN"/>
        </w:rPr>
        <w:t>项目已</w:t>
      </w:r>
      <w:r>
        <w:rPr>
          <w:rFonts w:hint="eastAsia" w:ascii="仿宋_GB2312" w:hAnsi="仿宋" w:eastAsia="仿宋_GB2312" w:cs="仿宋"/>
          <w:sz w:val="32"/>
          <w:szCs w:val="32"/>
        </w:rPr>
        <w:t>累计完成投资13500万。目前投资方正在加强资金筹措，</w:t>
      </w:r>
      <w:r>
        <w:rPr>
          <w:rFonts w:hint="eastAsia" w:ascii="仿宋_GB2312" w:hAnsi="仿宋" w:eastAsia="仿宋_GB2312" w:cs="仿宋"/>
          <w:sz w:val="32"/>
          <w:szCs w:val="32"/>
          <w:lang w:eastAsia="zh-CN"/>
        </w:rPr>
        <w:t>拟于近期与区政府洽谈二期土地和建设前期工作</w:t>
      </w:r>
      <w:r>
        <w:rPr>
          <w:rFonts w:hint="eastAsia" w:ascii="仿宋_GB2312" w:hAnsi="仿宋" w:eastAsia="仿宋_GB2312" w:cs="仿宋"/>
          <w:sz w:val="32"/>
          <w:szCs w:val="32"/>
        </w:rPr>
        <w:t>。</w:t>
      </w:r>
    </w:p>
    <w:p w14:paraId="5A8A7257">
      <w:pPr>
        <w:spacing w:line="560" w:lineRule="exact"/>
        <w:ind w:firstLine="640" w:firstLineChars="200"/>
        <w:rPr>
          <w:rFonts w:hint="default" w:ascii="仿宋_GB2312" w:hAnsi="仿宋" w:eastAsia="仿宋_GB2312" w:cs="仿宋"/>
          <w:sz w:val="32"/>
          <w:szCs w:val="32"/>
          <w:lang w:val="en-US" w:eastAsia="zh-CN"/>
        </w:rPr>
      </w:pPr>
      <w:r>
        <w:rPr>
          <w:rFonts w:hint="eastAsia" w:ascii="仿宋_GB2312" w:hAnsi="仿宋" w:eastAsia="仿宋_GB2312" w:cs="仿宋"/>
          <w:sz w:val="32"/>
          <w:szCs w:val="32"/>
        </w:rPr>
        <w:t>3、</w:t>
      </w:r>
      <w:r>
        <w:rPr>
          <w:rFonts w:hint="eastAsia" w:ascii="仿宋_GB2312" w:hAnsi="仿宋" w:eastAsia="仿宋_GB2312" w:cs="仿宋"/>
          <w:sz w:val="32"/>
          <w:szCs w:val="32"/>
          <w:lang w:eastAsia="zh-CN"/>
        </w:rPr>
        <w:t>武汉港航</w:t>
      </w:r>
      <w:r>
        <w:rPr>
          <w:rFonts w:hint="eastAsia" w:ascii="仿宋_GB2312" w:hAnsi="仿宋" w:eastAsia="仿宋_GB2312" w:cs="仿宋"/>
          <w:sz w:val="32"/>
          <w:szCs w:val="32"/>
        </w:rPr>
        <w:t>襄阳智慧物流园，占地面积173亩，项目</w:t>
      </w:r>
      <w:r>
        <w:rPr>
          <w:rFonts w:hint="eastAsia" w:ascii="仿宋_GB2312" w:hAnsi="仿宋" w:eastAsia="仿宋_GB2312" w:cs="仿宋"/>
          <w:sz w:val="32"/>
          <w:szCs w:val="32"/>
          <w:lang w:eastAsia="zh-CN"/>
        </w:rPr>
        <w:t>计划</w:t>
      </w:r>
      <w:r>
        <w:rPr>
          <w:rFonts w:hint="eastAsia" w:ascii="仿宋_GB2312" w:hAnsi="仿宋" w:eastAsia="仿宋_GB2312" w:cs="仿宋"/>
          <w:sz w:val="32"/>
          <w:szCs w:val="32"/>
        </w:rPr>
        <w:t>总投资3.2亿元，主要建设内容为：仓储物流区总建筑面积57300平方米，办公生活区总建筑面积7120平方米及附属设施。项目于2024年7月开工建设，目前园区主体工程已经完成70%。</w:t>
      </w:r>
      <w:r>
        <w:rPr>
          <w:rFonts w:hint="eastAsia" w:ascii="仿宋_GB2312" w:hAnsi="仿宋" w:eastAsia="仿宋_GB2312" w:cs="仿宋"/>
          <w:sz w:val="32"/>
          <w:szCs w:val="32"/>
          <w:lang w:eastAsia="zh-CN"/>
        </w:rPr>
        <w:t>京东襄阳公司已用物流标准仓</w:t>
      </w:r>
      <w:r>
        <w:rPr>
          <w:rFonts w:hint="eastAsia" w:ascii="仿宋_GB2312" w:hAnsi="仿宋" w:eastAsia="仿宋_GB2312" w:cs="仿宋"/>
          <w:sz w:val="32"/>
          <w:szCs w:val="32"/>
          <w:lang w:val="en-US" w:eastAsia="zh-CN"/>
        </w:rPr>
        <w:t>2万平米开始运营。</w:t>
      </w:r>
    </w:p>
    <w:p w14:paraId="0B042738">
      <w:pPr>
        <w:spacing w:line="56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4、襄阳唐白河港散货物流中转项目，总投资3.7亿元，项目占地面积101.94亩，总建筑面积40769.01</w:t>
      </w:r>
      <w:r>
        <w:rPr>
          <w:rFonts w:hint="eastAsia" w:ascii="仿宋" w:hAnsi="仿宋" w:eastAsia="仿宋" w:cs="仿宋"/>
          <w:sz w:val="32"/>
          <w:szCs w:val="32"/>
          <w:lang w:eastAsia="zh-CN"/>
        </w:rPr>
        <w:t>平方米</w:t>
      </w:r>
      <w:r>
        <w:rPr>
          <w:rFonts w:hint="eastAsia" w:ascii="仿宋_GB2312" w:hAnsi="仿宋_GB2312" w:eastAsia="仿宋_GB2312" w:cs="仿宋_GB2312"/>
          <w:sz w:val="32"/>
          <w:szCs w:val="32"/>
        </w:rPr>
        <w:t>，拟建设货运中心区及辅助配套区，其中货物转运仓库</w:t>
      </w:r>
      <w:r>
        <w:rPr>
          <w:rFonts w:hint="eastAsia" w:ascii="仿宋_GB2312" w:hAnsi="仿宋" w:eastAsia="仿宋_GB2312" w:cs="仿宋"/>
          <w:sz w:val="32"/>
          <w:szCs w:val="32"/>
        </w:rPr>
        <w:t>30699.01</w:t>
      </w:r>
      <w:r>
        <w:rPr>
          <w:rFonts w:hint="eastAsia" w:ascii="仿宋" w:hAnsi="仿宋" w:eastAsia="仿宋" w:cs="仿宋"/>
          <w:sz w:val="32"/>
          <w:szCs w:val="32"/>
          <w:lang w:eastAsia="zh-CN"/>
        </w:rPr>
        <w:t>平方米</w:t>
      </w:r>
      <w:r>
        <w:rPr>
          <w:rFonts w:hint="eastAsia" w:ascii="仿宋_GB2312" w:hAnsi="仿宋_GB2312" w:eastAsia="仿宋_GB2312" w:cs="仿宋_GB2312"/>
          <w:sz w:val="32"/>
          <w:szCs w:val="32"/>
        </w:rPr>
        <w:t>，散货仓</w:t>
      </w:r>
      <w:r>
        <w:rPr>
          <w:rFonts w:hint="eastAsia" w:ascii="仿宋_GB2312" w:hAnsi="仿宋" w:eastAsia="仿宋_GB2312" w:cs="仿宋"/>
          <w:sz w:val="32"/>
          <w:szCs w:val="32"/>
        </w:rPr>
        <w:t>库5650.00</w:t>
      </w:r>
      <w:r>
        <w:rPr>
          <w:rFonts w:hint="eastAsia" w:ascii="仿宋" w:hAnsi="仿宋" w:eastAsia="仿宋" w:cs="仿宋"/>
          <w:sz w:val="32"/>
          <w:szCs w:val="32"/>
          <w:lang w:eastAsia="zh-CN"/>
        </w:rPr>
        <w:t>平方米</w:t>
      </w:r>
      <w:r>
        <w:rPr>
          <w:rFonts w:hint="eastAsia" w:ascii="仿宋_GB2312" w:hAnsi="仿宋_GB2312" w:eastAsia="仿宋_GB2312" w:cs="仿宋_GB2312"/>
          <w:sz w:val="32"/>
          <w:szCs w:val="32"/>
        </w:rPr>
        <w:t>，推动农产品、建材、大宗商品等的存储和转运</w:t>
      </w:r>
      <w:r>
        <w:rPr>
          <w:rFonts w:hint="eastAsia" w:ascii="仿宋_GB2312" w:hAnsi="仿宋" w:eastAsia="仿宋_GB2312" w:cs="仿宋"/>
          <w:sz w:val="32"/>
          <w:szCs w:val="32"/>
        </w:rPr>
        <w:t>。项目</w:t>
      </w:r>
      <w:r>
        <w:rPr>
          <w:rFonts w:hint="eastAsia" w:ascii="仿宋_GB2312" w:hAnsi="仿宋" w:eastAsia="仿宋_GB2312" w:cs="仿宋"/>
          <w:sz w:val="32"/>
          <w:szCs w:val="32"/>
          <w:lang w:eastAsia="zh-CN"/>
        </w:rPr>
        <w:t>备案、土地、规划、设计等前前期工作已完成，并</w:t>
      </w:r>
      <w:r>
        <w:rPr>
          <w:rFonts w:hint="eastAsia" w:ascii="仿宋_GB2312" w:hAnsi="仿宋" w:eastAsia="仿宋_GB2312" w:cs="仿宋"/>
          <w:sz w:val="32"/>
          <w:szCs w:val="32"/>
        </w:rPr>
        <w:t>于2025年3月开工建设。</w:t>
      </w:r>
    </w:p>
    <w:p w14:paraId="4870F9B2">
      <w:pPr>
        <w:spacing w:line="560" w:lineRule="exact"/>
        <w:ind w:firstLine="643" w:firstLineChars="200"/>
        <w:rPr>
          <w:rFonts w:hint="eastAsia" w:ascii="黑体" w:hAnsi="黑体" w:eastAsia="黑体" w:cs="黑体"/>
          <w:b/>
          <w:bCs/>
          <w:sz w:val="32"/>
          <w:szCs w:val="32"/>
        </w:rPr>
      </w:pPr>
      <w:r>
        <w:rPr>
          <w:rFonts w:hint="eastAsia" w:ascii="黑体" w:hAnsi="黑体" w:eastAsia="黑体" w:cs="黑体"/>
          <w:b/>
          <w:bCs/>
          <w:sz w:val="32"/>
          <w:szCs w:val="32"/>
          <w:lang w:eastAsia="zh-CN"/>
        </w:rPr>
        <w:t>二、</w:t>
      </w:r>
      <w:r>
        <w:rPr>
          <w:rFonts w:hint="eastAsia" w:ascii="黑体" w:hAnsi="黑体" w:eastAsia="黑体" w:cs="黑体"/>
          <w:b/>
          <w:bCs/>
          <w:sz w:val="32"/>
          <w:szCs w:val="32"/>
        </w:rPr>
        <w:t>谋划</w:t>
      </w:r>
      <w:r>
        <w:rPr>
          <w:rFonts w:hint="eastAsia" w:ascii="黑体" w:hAnsi="黑体" w:eastAsia="黑体" w:cs="黑体"/>
          <w:b/>
          <w:bCs/>
          <w:sz w:val="32"/>
          <w:szCs w:val="32"/>
          <w:lang w:eastAsia="zh-CN"/>
        </w:rPr>
        <w:t>重点</w:t>
      </w:r>
      <w:r>
        <w:rPr>
          <w:rFonts w:hint="eastAsia" w:ascii="黑体" w:hAnsi="黑体" w:eastAsia="黑体" w:cs="黑体"/>
          <w:b/>
          <w:bCs/>
          <w:sz w:val="32"/>
          <w:szCs w:val="32"/>
        </w:rPr>
        <w:t>项目</w:t>
      </w:r>
      <w:r>
        <w:rPr>
          <w:rFonts w:hint="eastAsia" w:ascii="黑体" w:hAnsi="黑体" w:eastAsia="黑体" w:cs="黑体"/>
          <w:b/>
          <w:bCs/>
          <w:sz w:val="32"/>
          <w:szCs w:val="32"/>
          <w:lang w:eastAsia="zh-CN"/>
        </w:rPr>
        <w:t>及推进</w:t>
      </w:r>
      <w:r>
        <w:rPr>
          <w:rFonts w:hint="eastAsia" w:ascii="黑体" w:hAnsi="黑体" w:eastAsia="黑体" w:cs="黑体"/>
          <w:b/>
          <w:bCs/>
          <w:sz w:val="32"/>
          <w:szCs w:val="32"/>
        </w:rPr>
        <w:t>情况</w:t>
      </w:r>
    </w:p>
    <w:p w14:paraId="1A0594DD">
      <w:pPr>
        <w:spacing w:line="56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襄州区大宗商品多式联运交易中心（提升工程湖北局538项目）</w:t>
      </w:r>
      <w:r>
        <w:rPr>
          <w:rFonts w:hint="eastAsia" w:ascii="仿宋_GB2312" w:hAnsi="仿宋" w:eastAsia="仿宋_GB2312" w:cs="仿宋"/>
          <w:sz w:val="32"/>
          <w:szCs w:val="32"/>
          <w:lang w:eastAsia="zh-CN"/>
        </w:rPr>
        <w:t>由国家粮食和物资储备局湖北局五三八处建设</w:t>
      </w:r>
      <w:r>
        <w:rPr>
          <w:rFonts w:hint="eastAsia" w:ascii="仿宋_GB2312" w:hAnsi="仿宋" w:eastAsia="仿宋_GB2312" w:cs="仿宋"/>
          <w:sz w:val="32"/>
          <w:szCs w:val="32"/>
        </w:rPr>
        <w:t>，总投资2.5亿，项目占地120亩，建设内容为新增1条铁路专用线，3栋仓储设施20000平方米，4栋生产配套楼4300平方米，新增2台龙门吊及装卸设施，建设安防和信息交易系统等。目前</w:t>
      </w:r>
      <w:r>
        <w:rPr>
          <w:rFonts w:hint="eastAsia" w:ascii="仿宋_GB2312" w:hAnsi="仿宋" w:eastAsia="仿宋_GB2312" w:cs="仿宋"/>
          <w:sz w:val="32"/>
          <w:szCs w:val="32"/>
          <w:lang w:eastAsia="zh-CN"/>
        </w:rPr>
        <w:t>，项目审批、备案、设计等工作已完成，正在</w:t>
      </w:r>
      <w:r>
        <w:rPr>
          <w:rFonts w:hint="eastAsia" w:ascii="仿宋_GB2312" w:hAnsi="仿宋" w:eastAsia="仿宋_GB2312" w:cs="仿宋"/>
          <w:sz w:val="32"/>
          <w:szCs w:val="32"/>
        </w:rPr>
        <w:t>开展土地征迁工作，计划2025年开工建设。</w:t>
      </w:r>
    </w:p>
    <w:p w14:paraId="5F3C93B5">
      <w:pPr>
        <w:numPr>
          <w:ilvl w:val="0"/>
          <w:numId w:val="1"/>
        </w:numPr>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招商引资项目及推进情况</w:t>
      </w:r>
    </w:p>
    <w:p w14:paraId="17CA3AF7">
      <w:pPr>
        <w:numPr>
          <w:numId w:val="0"/>
        </w:numPr>
        <w:spacing w:line="560" w:lineRule="exact"/>
        <w:ind w:firstLine="640" w:firstLineChars="200"/>
        <w:rPr>
          <w:rFonts w:hint="default"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1、今年4月以来，京东物流襄阳公司已在襄州玖道智慧物流产业园和武汉港航襄阳智慧物流园入驻经营，分别使用物流标准仓3.9万平方米和2万平方米，投入物流设备8000万元左右，日均使用各类型货车200辆左右，日均处理京东快件20多万件。</w:t>
      </w:r>
    </w:p>
    <w:p w14:paraId="0C0D47C4">
      <w:pPr>
        <w:numPr>
          <w:numId w:val="0"/>
        </w:numPr>
        <w:spacing w:line="560" w:lineRule="exact"/>
        <w:ind w:firstLine="640" w:firstLineChars="200"/>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2、华中港航物流集团襄州北煤炭储备项目处于对接谋划阶段，项目拟依托浩吉铁路主线引出专用线，在浩吉襄州北站南侧征地建设煤炭储备基地，对接该公司煤炭供应链业务。华中港航物流集团已来襄考察，近期正在与我区领导进行深入对接洽谈。</w:t>
      </w:r>
    </w:p>
    <w:p w14:paraId="01C635E9">
      <w:pPr>
        <w:numPr>
          <w:numId w:val="0"/>
        </w:numPr>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四、谋划的重要事项及推进情况</w:t>
      </w:r>
    </w:p>
    <w:p w14:paraId="7C6F23F7">
      <w:pPr>
        <w:pageBreakBefore w:val="0"/>
        <w:widowControl w:val="0"/>
        <w:kinsoku/>
        <w:wordWrap/>
        <w:overflowPunct/>
        <w:topLinePunct w:val="0"/>
        <w:autoSpaceDE/>
        <w:autoSpaceDN/>
        <w:bidi w:val="0"/>
        <w:adjustRightInd/>
        <w:snapToGrid/>
        <w:spacing w:before="91"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目前，我区正在围绕襄阳港唐白河港区，加快推进赵寨片区土地报批及港区规划、襄州区砂石集并中心运营、</w:t>
      </w:r>
      <w:r>
        <w:rPr>
          <w:rFonts w:hint="eastAsia" w:ascii="仿宋" w:hAnsi="仿宋" w:eastAsia="仿宋" w:cs="仿宋"/>
          <w:spacing w:val="-1"/>
          <w:sz w:val="32"/>
          <w:szCs w:val="32"/>
        </w:rPr>
        <w:t>唐白河港区</w:t>
      </w:r>
      <w:r>
        <w:rPr>
          <w:rFonts w:hint="eastAsia" w:ascii="仿宋" w:hAnsi="仿宋" w:eastAsia="仿宋" w:cs="仿宋"/>
          <w:sz w:val="32"/>
          <w:szCs w:val="32"/>
        </w:rPr>
        <w:t>集疏运公路</w:t>
      </w:r>
      <w:r>
        <w:rPr>
          <w:rFonts w:hint="eastAsia" w:ascii="仿宋" w:hAnsi="仿宋" w:eastAsia="仿宋" w:cs="仿宋"/>
          <w:sz w:val="32"/>
          <w:szCs w:val="32"/>
          <w:lang w:eastAsia="zh-CN"/>
        </w:rPr>
        <w:t>、</w:t>
      </w:r>
      <w:r>
        <w:rPr>
          <w:rFonts w:hint="eastAsia" w:ascii="仿宋" w:hAnsi="仿宋" w:eastAsia="仿宋" w:cs="仿宋"/>
          <w:color w:val="auto"/>
          <w:sz w:val="32"/>
          <w:szCs w:val="32"/>
          <w:lang w:val="en-US" w:eastAsia="zh-CN"/>
        </w:rPr>
        <w:t>襄阳唐白河港区散货物流转运中心</w:t>
      </w:r>
      <w:r>
        <w:rPr>
          <w:rFonts w:hint="eastAsia" w:ascii="仿宋" w:hAnsi="仿宋" w:eastAsia="仿宋" w:cs="仿宋"/>
          <w:sz w:val="32"/>
          <w:szCs w:val="32"/>
          <w:lang w:eastAsia="zh-CN"/>
        </w:rPr>
        <w:t>等工作</w:t>
      </w:r>
      <w:r>
        <w:rPr>
          <w:rFonts w:hint="eastAsia" w:ascii="仿宋" w:hAnsi="仿宋" w:eastAsia="仿宋" w:cs="仿宋"/>
          <w:sz w:val="32"/>
          <w:szCs w:val="32"/>
        </w:rPr>
        <w:t>。</w:t>
      </w:r>
    </w:p>
    <w:p w14:paraId="0116D9DF">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在唐白河港赵寨片区规划方面，围绕拟用岸线、港口码头、物流用地、产业园区等，组织区资规等部门将相邻区域</w:t>
      </w:r>
      <w:r>
        <w:rPr>
          <w:rFonts w:hint="eastAsia" w:ascii="仿宋" w:hAnsi="仿宋" w:eastAsia="仿宋" w:cs="仿宋"/>
          <w:sz w:val="32"/>
          <w:szCs w:val="32"/>
          <w:lang w:val="en-US" w:eastAsia="zh-CN"/>
        </w:rPr>
        <w:t>规划</w:t>
      </w:r>
      <w:r>
        <w:rPr>
          <w:rFonts w:hint="eastAsia" w:ascii="仿宋" w:hAnsi="仿宋" w:eastAsia="仿宋" w:cs="仿宋"/>
          <w:sz w:val="32"/>
          <w:szCs w:val="32"/>
          <w:lang w:eastAsia="zh-CN"/>
        </w:rPr>
        <w:t>预留近</w:t>
      </w:r>
      <w:r>
        <w:rPr>
          <w:rFonts w:hint="eastAsia" w:ascii="仿宋" w:hAnsi="仿宋" w:eastAsia="仿宋" w:cs="仿宋"/>
          <w:sz w:val="32"/>
          <w:szCs w:val="32"/>
          <w:lang w:val="en-US" w:eastAsia="zh-CN"/>
        </w:rPr>
        <w:t>2000亩左右土地，已组件报批。目前，唐白河港区赵寨港已纳入正在修编的《襄阳港总体规划（2020～2035年）》，</w:t>
      </w:r>
      <w:r>
        <w:rPr>
          <w:rFonts w:hint="eastAsia" w:ascii="仿宋" w:hAnsi="仿宋" w:eastAsia="仿宋" w:cs="仿宋"/>
          <w:sz w:val="32"/>
          <w:szCs w:val="32"/>
          <w:lang w:eastAsia="zh-CN"/>
        </w:rPr>
        <w:t>预计总投资为</w:t>
      </w:r>
      <w:r>
        <w:rPr>
          <w:rFonts w:hint="eastAsia" w:ascii="仿宋" w:hAnsi="仿宋" w:eastAsia="仿宋" w:cs="仿宋"/>
          <w:sz w:val="32"/>
          <w:szCs w:val="32"/>
          <w:lang w:val="en-US" w:eastAsia="zh-CN"/>
        </w:rPr>
        <w:t>84000万元，规划</w:t>
      </w:r>
      <w:r>
        <w:rPr>
          <w:rFonts w:hint="eastAsia" w:ascii="仿宋" w:hAnsi="仿宋" w:eastAsia="仿宋" w:cs="仿宋"/>
          <w:sz w:val="32"/>
          <w:szCs w:val="32"/>
          <w:lang w:eastAsia="zh-CN"/>
        </w:rPr>
        <w:t>建设</w:t>
      </w:r>
      <w:r>
        <w:rPr>
          <w:rFonts w:hint="eastAsia" w:ascii="仿宋" w:hAnsi="仿宋" w:eastAsia="仿宋" w:cs="仿宋"/>
          <w:sz w:val="32"/>
          <w:szCs w:val="32"/>
          <w:lang w:val="en-US" w:eastAsia="zh-CN"/>
        </w:rPr>
        <w:t>1000吨级散货进口</w:t>
      </w:r>
      <w:r>
        <w:rPr>
          <w:rFonts w:hint="eastAsia" w:ascii="仿宋" w:hAnsi="仿宋" w:eastAsia="仿宋" w:cs="仿宋"/>
          <w:sz w:val="32"/>
          <w:szCs w:val="32"/>
          <w:lang w:eastAsia="zh-CN"/>
        </w:rPr>
        <w:t>泊位7个，利用岸线675米，新增通过能力630万吨，同步建设辅助生产建筑，配备装卸、起吊等机械设备，配套供水、供电等设施。</w:t>
      </w:r>
      <w:r>
        <w:rPr>
          <w:rFonts w:hint="eastAsia" w:ascii="仿宋" w:hAnsi="仿宋" w:eastAsia="仿宋" w:cs="仿宋"/>
          <w:sz w:val="32"/>
          <w:szCs w:val="32"/>
          <w:lang w:val="en-US" w:eastAsia="zh-CN"/>
        </w:rPr>
        <w:t>待《襄阳港总体规划（2020～2035年）》批复后，我区将立即按照程序组织开展建设。</w:t>
      </w:r>
    </w:p>
    <w:p w14:paraId="51B26486">
      <w:pPr>
        <w:numPr>
          <w:numId w:val="0"/>
        </w:numPr>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五、市场主体培育情况</w:t>
      </w:r>
    </w:p>
    <w:p w14:paraId="4EBC9760">
      <w:pPr>
        <w:keepNext w:val="0"/>
        <w:keepLines w:val="0"/>
        <w:pageBreakBefore w:val="0"/>
        <w:kinsoku/>
        <w:wordWrap/>
        <w:overflowPunct/>
        <w:topLinePunct w:val="0"/>
        <w:autoSpaceDE/>
        <w:autoSpaceDN/>
        <w:bidi w:val="0"/>
        <w:adjustRightInd/>
        <w:snapToGrid/>
        <w:spacing w:line="520" w:lineRule="exact"/>
        <w:ind w:left="0" w:leftChars="0" w:right="0" w:rightChars="0" w:firstLine="640" w:firstLineChars="200"/>
        <w:textAlignment w:val="auto"/>
        <w:outlineLvl w:val="9"/>
        <w:rPr>
          <w:rFonts w:hint="eastAsia" w:ascii="黑体" w:hAnsi="黑体" w:eastAsia="黑体" w:cs="黑体"/>
          <w:color w:val="auto"/>
          <w:kern w:val="2"/>
          <w:sz w:val="32"/>
          <w:szCs w:val="32"/>
          <w:lang w:val="en-US" w:eastAsia="zh-CN"/>
        </w:rPr>
      </w:pPr>
      <w:r>
        <w:rPr>
          <w:rFonts w:hint="eastAsia" w:ascii="仿宋" w:hAnsi="仿宋" w:eastAsia="仿宋" w:cs="仿宋"/>
          <w:sz w:val="32"/>
          <w:szCs w:val="32"/>
          <w:lang w:val="zh-CN"/>
        </w:rPr>
        <w:t>我区现有大、中、小型物流企业</w:t>
      </w:r>
      <w:r>
        <w:rPr>
          <w:rFonts w:hint="eastAsia" w:ascii="仿宋" w:hAnsi="仿宋" w:eastAsia="仿宋" w:cs="仿宋"/>
          <w:sz w:val="32"/>
          <w:szCs w:val="32"/>
          <w:lang w:val="en-US" w:eastAsia="zh-CN"/>
        </w:rPr>
        <w:t>260多</w:t>
      </w:r>
      <w:r>
        <w:rPr>
          <w:rFonts w:hint="eastAsia" w:ascii="仿宋" w:hAnsi="仿宋" w:eastAsia="仿宋" w:cs="仿宋"/>
          <w:sz w:val="32"/>
          <w:szCs w:val="32"/>
          <w:lang w:val="zh-CN"/>
        </w:rPr>
        <w:t>家。其中，综合、园区类物流企业</w:t>
      </w:r>
      <w:r>
        <w:rPr>
          <w:rFonts w:hint="eastAsia" w:ascii="仿宋" w:hAnsi="仿宋" w:eastAsia="仿宋" w:cs="仿宋"/>
          <w:sz w:val="32"/>
          <w:szCs w:val="32"/>
          <w:lang w:val="en-US" w:eastAsia="zh-CN"/>
        </w:rPr>
        <w:t>6</w:t>
      </w:r>
      <w:r>
        <w:rPr>
          <w:rFonts w:hint="eastAsia" w:ascii="仿宋" w:hAnsi="仿宋" w:eastAsia="仿宋" w:cs="仿宋"/>
          <w:sz w:val="32"/>
          <w:szCs w:val="32"/>
          <w:lang w:val="zh-CN"/>
        </w:rPr>
        <w:t>家，仓储类物流企业</w:t>
      </w:r>
      <w:r>
        <w:rPr>
          <w:rFonts w:hint="eastAsia" w:ascii="仿宋" w:hAnsi="仿宋" w:eastAsia="仿宋" w:cs="仿宋"/>
          <w:sz w:val="32"/>
          <w:szCs w:val="32"/>
          <w:lang w:val="en-US" w:eastAsia="zh-CN"/>
        </w:rPr>
        <w:t>30</w:t>
      </w:r>
      <w:r>
        <w:rPr>
          <w:rFonts w:hint="eastAsia" w:ascii="仿宋" w:hAnsi="仿宋" w:eastAsia="仿宋" w:cs="仿宋"/>
          <w:sz w:val="32"/>
          <w:szCs w:val="32"/>
          <w:lang w:val="zh-CN"/>
        </w:rPr>
        <w:t>家，运输类物流企业</w:t>
      </w:r>
      <w:r>
        <w:rPr>
          <w:rFonts w:hint="eastAsia" w:ascii="仿宋" w:hAnsi="仿宋" w:eastAsia="仿宋" w:cs="仿宋"/>
          <w:sz w:val="32"/>
          <w:szCs w:val="32"/>
          <w:lang w:val="en-US" w:eastAsia="zh-CN"/>
        </w:rPr>
        <w:t>87</w:t>
      </w:r>
      <w:r>
        <w:rPr>
          <w:rFonts w:hint="eastAsia" w:ascii="仿宋" w:hAnsi="仿宋" w:eastAsia="仿宋" w:cs="仿宋"/>
          <w:sz w:val="32"/>
          <w:szCs w:val="32"/>
          <w:lang w:val="zh-CN"/>
        </w:rPr>
        <w:t>家，包装、加工、配送类物流企业</w:t>
      </w:r>
      <w:r>
        <w:rPr>
          <w:rFonts w:hint="eastAsia" w:ascii="仿宋" w:hAnsi="仿宋" w:eastAsia="仿宋" w:cs="仿宋"/>
          <w:sz w:val="32"/>
          <w:szCs w:val="32"/>
          <w:lang w:val="en-US" w:eastAsia="zh-CN"/>
        </w:rPr>
        <w:t>30家，</w:t>
      </w:r>
      <w:r>
        <w:rPr>
          <w:rFonts w:hint="eastAsia" w:ascii="仿宋" w:hAnsi="仿宋" w:eastAsia="仿宋" w:cs="仿宋"/>
          <w:sz w:val="32"/>
          <w:szCs w:val="32"/>
          <w:lang w:val="zh-CN" w:eastAsia="zh-CN"/>
        </w:rPr>
        <w:t>货代</w:t>
      </w:r>
      <w:r>
        <w:rPr>
          <w:rFonts w:hint="eastAsia" w:ascii="仿宋" w:hAnsi="仿宋" w:eastAsia="仿宋" w:cs="仿宋"/>
          <w:sz w:val="32"/>
          <w:szCs w:val="32"/>
          <w:lang w:val="zh-CN"/>
        </w:rPr>
        <w:t>类物流企业</w:t>
      </w:r>
      <w:r>
        <w:rPr>
          <w:rFonts w:hint="eastAsia" w:ascii="仿宋" w:hAnsi="仿宋" w:eastAsia="仿宋" w:cs="仿宋"/>
          <w:sz w:val="32"/>
          <w:szCs w:val="32"/>
          <w:lang w:val="en-US" w:eastAsia="zh-CN"/>
        </w:rPr>
        <w:t>97</w:t>
      </w:r>
      <w:r>
        <w:rPr>
          <w:rFonts w:hint="eastAsia" w:ascii="仿宋" w:hAnsi="仿宋" w:eastAsia="仿宋" w:cs="仿宋"/>
          <w:sz w:val="32"/>
          <w:szCs w:val="32"/>
          <w:lang w:val="zh-CN"/>
        </w:rPr>
        <w:t>家。截至</w:t>
      </w:r>
      <w:r>
        <w:rPr>
          <w:rFonts w:hint="eastAsia" w:ascii="仿宋" w:hAnsi="仿宋" w:eastAsia="仿宋" w:cs="仿宋"/>
          <w:sz w:val="32"/>
          <w:szCs w:val="32"/>
          <w:lang w:val="en-US" w:eastAsia="zh-CN"/>
        </w:rPr>
        <w:t>2020年底，5A级物流企业2家，</w:t>
      </w:r>
      <w:r>
        <w:rPr>
          <w:rFonts w:hint="eastAsia" w:ascii="仿宋" w:hAnsi="仿宋" w:eastAsia="仿宋" w:cs="仿宋"/>
          <w:sz w:val="32"/>
          <w:szCs w:val="32"/>
          <w:lang w:val="zh-CN"/>
        </w:rPr>
        <w:t>4A级企业</w:t>
      </w:r>
      <w:r>
        <w:rPr>
          <w:rFonts w:hint="eastAsia" w:ascii="仿宋" w:hAnsi="仿宋" w:eastAsia="仿宋" w:cs="仿宋"/>
          <w:sz w:val="32"/>
          <w:szCs w:val="32"/>
          <w:lang w:val="en-US" w:eastAsia="zh-CN"/>
        </w:rPr>
        <w:t>18</w:t>
      </w:r>
      <w:r>
        <w:rPr>
          <w:rFonts w:hint="eastAsia" w:ascii="仿宋" w:hAnsi="仿宋" w:eastAsia="仿宋" w:cs="仿宋"/>
          <w:sz w:val="32"/>
          <w:szCs w:val="32"/>
          <w:lang w:val="zh-CN"/>
        </w:rPr>
        <w:t>家，3A级企业</w:t>
      </w:r>
      <w:r>
        <w:rPr>
          <w:rFonts w:hint="eastAsia" w:ascii="仿宋" w:hAnsi="仿宋" w:eastAsia="仿宋" w:cs="仿宋"/>
          <w:sz w:val="32"/>
          <w:szCs w:val="32"/>
          <w:lang w:val="en-US" w:eastAsia="zh-CN"/>
        </w:rPr>
        <w:t>23</w:t>
      </w:r>
      <w:r>
        <w:rPr>
          <w:rFonts w:hint="eastAsia" w:ascii="仿宋" w:hAnsi="仿宋" w:eastAsia="仿宋" w:cs="仿宋"/>
          <w:sz w:val="32"/>
          <w:szCs w:val="32"/>
          <w:lang w:val="zh-CN"/>
        </w:rPr>
        <w:t>家，2A级企业</w:t>
      </w:r>
      <w:r>
        <w:rPr>
          <w:rFonts w:hint="eastAsia" w:ascii="仿宋" w:hAnsi="仿宋" w:eastAsia="仿宋" w:cs="仿宋"/>
          <w:sz w:val="32"/>
          <w:szCs w:val="32"/>
          <w:lang w:val="en-US" w:eastAsia="zh-CN"/>
        </w:rPr>
        <w:t>1</w:t>
      </w:r>
      <w:r>
        <w:rPr>
          <w:rFonts w:hint="eastAsia" w:ascii="仿宋" w:hAnsi="仿宋" w:eastAsia="仿宋" w:cs="仿宋"/>
          <w:sz w:val="32"/>
          <w:szCs w:val="32"/>
          <w:lang w:val="zh-CN"/>
        </w:rPr>
        <w:t>家，共计</w:t>
      </w:r>
      <w:r>
        <w:rPr>
          <w:rFonts w:hint="eastAsia" w:ascii="仿宋" w:hAnsi="仿宋" w:eastAsia="仿宋" w:cs="仿宋"/>
          <w:sz w:val="32"/>
          <w:szCs w:val="32"/>
          <w:lang w:val="en-US" w:eastAsia="zh-CN"/>
        </w:rPr>
        <w:t>44家</w:t>
      </w:r>
      <w:r>
        <w:rPr>
          <w:rFonts w:hint="eastAsia" w:ascii="仿宋" w:hAnsi="仿宋" w:eastAsia="仿宋" w:cs="仿宋"/>
          <w:sz w:val="32"/>
          <w:szCs w:val="32"/>
          <w:lang w:val="zh-CN"/>
        </w:rPr>
        <w:t>。</w:t>
      </w:r>
      <w:r>
        <w:rPr>
          <w:rFonts w:hint="eastAsia" w:ascii="仿宋" w:hAnsi="仿宋" w:eastAsia="仿宋" w:cs="仿宋"/>
          <w:sz w:val="32"/>
          <w:szCs w:val="32"/>
          <w:lang w:val="en-US" w:eastAsia="zh-CN"/>
        </w:rPr>
        <w:t>全省重点物流企业19家。物流企业中，年物流产值在1亿元以上的企业占3 %，3000万元至1亿元的企业占10 %，1000万至3000万元的企业占20%，1000万元以下的企业占67 %。</w:t>
      </w:r>
    </w:p>
    <w:p w14:paraId="64FEA7BB">
      <w:pPr>
        <w:numPr>
          <w:ilvl w:val="0"/>
          <w:numId w:val="0"/>
        </w:numPr>
        <w:spacing w:line="560" w:lineRule="exact"/>
        <w:ind w:firstLine="640" w:firstLineChars="200"/>
        <w:rPr>
          <w:rFonts w:hint="eastAsia"/>
          <w:lang w:val="en-US" w:eastAsia="zh-CN"/>
        </w:rPr>
      </w:pPr>
      <w:r>
        <w:rPr>
          <w:rFonts w:hint="eastAsia" w:ascii="仿宋" w:hAnsi="仿宋" w:eastAsia="仿宋" w:cs="仿宋"/>
          <w:sz w:val="32"/>
          <w:szCs w:val="32"/>
          <w:lang w:val="en-US" w:eastAsia="zh-CN"/>
        </w:rPr>
        <w:t>近年来，重点引进和培育了港建物流、圆汇物流、玖道供应链、京东物流襄阳公司、吉顺物流、吉顺小跑、捷顺达、顺发等龙头企业。</w:t>
      </w:r>
    </w:p>
    <w:p w14:paraId="3E770103">
      <w:pPr>
        <w:spacing w:line="560" w:lineRule="exact"/>
        <w:ind w:firstLine="640" w:firstLineChars="200"/>
        <w:rPr>
          <w:rFonts w:hint="eastAsia" w:ascii="黑体" w:hAnsi="黑体" w:eastAsia="黑体" w:cs="仿宋"/>
          <w:sz w:val="32"/>
          <w:szCs w:val="32"/>
        </w:rPr>
      </w:pPr>
      <w:r>
        <w:rPr>
          <w:rFonts w:hint="eastAsia" w:ascii="黑体" w:hAnsi="黑体" w:eastAsia="黑体" w:cs="仿宋"/>
          <w:sz w:val="32"/>
          <w:szCs w:val="32"/>
          <w:lang w:eastAsia="zh-CN"/>
        </w:rPr>
        <w:t>六</w:t>
      </w:r>
      <w:r>
        <w:rPr>
          <w:rFonts w:hint="eastAsia" w:ascii="黑体" w:hAnsi="黑体" w:eastAsia="黑体" w:cs="仿宋"/>
          <w:sz w:val="32"/>
          <w:szCs w:val="32"/>
        </w:rPr>
        <w:t>、需协调解决的事项</w:t>
      </w:r>
    </w:p>
    <w:p w14:paraId="7A302A14">
      <w:pPr>
        <w:spacing w:line="560" w:lineRule="exact"/>
        <w:ind w:firstLine="640" w:firstLineChars="200"/>
        <w:rPr>
          <w:rFonts w:hint="eastAsia" w:ascii="仿宋" w:hAnsi="仿宋" w:eastAsia="仿宋" w:cs="仿宋"/>
          <w:b w:val="0"/>
          <w:bCs w:val="0"/>
          <w:sz w:val="32"/>
          <w:szCs w:val="32"/>
          <w:lang w:val="en-US" w:eastAsia="zh-CN"/>
        </w:rPr>
      </w:pPr>
      <w:r>
        <w:rPr>
          <w:rFonts w:hint="eastAsia" w:ascii="黑体" w:hAnsi="黑体" w:eastAsia="黑体" w:cs="仿宋"/>
          <w:sz w:val="32"/>
          <w:szCs w:val="32"/>
          <w:lang w:val="en-US" w:eastAsia="zh-CN"/>
        </w:rPr>
        <w:t>1、</w:t>
      </w:r>
      <w:r>
        <w:rPr>
          <w:rFonts w:hint="eastAsia" w:ascii="仿宋" w:hAnsi="仿宋" w:eastAsia="仿宋" w:cs="仿宋"/>
          <w:b w:val="0"/>
          <w:bCs w:val="0"/>
          <w:sz w:val="32"/>
          <w:szCs w:val="32"/>
          <w:lang w:val="en-US" w:eastAsia="zh-CN"/>
        </w:rPr>
        <w:t>需要沟通协调金融机构与物流企业做好金融服务，了解物流企业融资需求。</w:t>
      </w:r>
    </w:p>
    <w:p w14:paraId="35A237FB">
      <w:pPr>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2、需要商请铁路部门协商统一</w:t>
      </w:r>
      <w:r>
        <w:rPr>
          <w:rFonts w:hint="eastAsia" w:ascii="仿宋" w:hAnsi="仿宋" w:eastAsia="仿宋" w:cs="仿宋"/>
          <w:sz w:val="32"/>
          <w:szCs w:val="32"/>
          <w:lang w:val="en-US" w:eastAsia="zh-CN"/>
        </w:rPr>
        <w:t>标准体系，解决公铁联运标准化衔接不畅的问题，充分挖掘襄阳铁路运输优势。</w:t>
      </w:r>
    </w:p>
    <w:p w14:paraId="1E575F7F">
      <w:pPr>
        <w:spacing w:line="560" w:lineRule="exact"/>
        <w:ind w:firstLine="640" w:firstLineChars="200"/>
        <w:rPr>
          <w:rFonts w:hint="eastAsia" w:ascii="仿宋" w:hAnsi="仿宋" w:eastAsia="仿宋" w:cs="仿宋"/>
          <w:b w:val="0"/>
          <w:bCs w:val="0"/>
          <w:sz w:val="32"/>
          <w:szCs w:val="32"/>
          <w:lang w:val="en-US" w:eastAsia="zh-CN"/>
        </w:rPr>
      </w:pPr>
      <w:r>
        <w:rPr>
          <w:rFonts w:hint="eastAsia" w:ascii="仿宋" w:hAnsi="仿宋" w:eastAsia="仿宋" w:cs="仿宋"/>
          <w:sz w:val="32"/>
          <w:szCs w:val="32"/>
          <w:lang w:val="en-US" w:eastAsia="zh-CN"/>
        </w:rPr>
        <w:t>3、需要</w:t>
      </w:r>
      <w:r>
        <w:rPr>
          <w:rFonts w:hint="eastAsia" w:ascii="仿宋" w:hAnsi="仿宋" w:eastAsia="仿宋" w:cs="仿宋"/>
          <w:b w:val="0"/>
          <w:bCs w:val="0"/>
          <w:sz w:val="32"/>
          <w:szCs w:val="32"/>
          <w:lang w:val="en-US" w:eastAsia="zh-CN"/>
        </w:rPr>
        <w:t>尽快兑现原有拖欠的政府奖励，修订新的产业扶持政策，提升物流企业信心。</w:t>
      </w:r>
    </w:p>
    <w:p w14:paraId="7CF4F468">
      <w:pPr>
        <w:spacing w:line="560" w:lineRule="exact"/>
        <w:ind w:firstLine="640" w:firstLineChars="200"/>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4、商请税务部门拿出切实可行措施，解决物流领域上下游企业难以取得进项票问题。</w:t>
      </w:r>
    </w:p>
    <w:p w14:paraId="21836EF1">
      <w:pPr>
        <w:spacing w:line="560" w:lineRule="exact"/>
        <w:ind w:firstLine="640" w:firstLineChars="200"/>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5、襄阳城区的物流项目布局过于分散，货物很难集聚，推高了物流企业运营成本。物流市场难以形成竞争优势，汉江流域物流中心城市地位“突而不显”。</w:t>
      </w:r>
    </w:p>
    <w:p w14:paraId="093A6BD0">
      <w:pPr>
        <w:spacing w:line="560" w:lineRule="exact"/>
        <w:ind w:firstLine="640" w:firstLineChars="200"/>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6、结合实际做好全市“十五五”现代物流产业发展规划，突出公铁水联运核心优势，科学布局重点园区项目，提升水运和公路通道通达能力。</w:t>
      </w:r>
    </w:p>
    <w:p w14:paraId="131624D6">
      <w:pPr>
        <w:spacing w:line="560" w:lineRule="exact"/>
        <w:ind w:firstLine="640" w:firstLineChars="200"/>
        <w:rPr>
          <w:rFonts w:hint="eastAsia" w:ascii="仿宋_GB2312" w:eastAsia="仿宋_GB2312"/>
          <w:sz w:val="32"/>
          <w:szCs w:val="32"/>
          <w:lang w:eastAsia="zh-CN"/>
        </w:rPr>
      </w:pPr>
    </w:p>
    <w:p w14:paraId="11AEB007">
      <w:pPr>
        <w:rPr>
          <w:rFonts w:hint="eastAsia" w:ascii="仿宋" w:hAnsi="仿宋" w:eastAsia="仿宋" w:cs="仿宋"/>
          <w:sz w:val="32"/>
          <w:szCs w:val="32"/>
        </w:rPr>
      </w:pPr>
    </w:p>
    <w:p w14:paraId="4A4C7AF2">
      <w:pPr>
        <w:rPr>
          <w:rFonts w:hint="eastAsia" w:ascii="仿宋" w:hAnsi="仿宋" w:eastAsia="仿宋" w:cs="仿宋"/>
          <w:sz w:val="32"/>
          <w:szCs w:val="32"/>
        </w:rPr>
      </w:pPr>
      <w:r>
        <w:rPr>
          <w:rFonts w:hint="eastAsia" w:ascii="仿宋" w:hAnsi="仿宋" w:eastAsia="仿宋" w:cs="仿宋"/>
          <w:sz w:val="32"/>
          <w:szCs w:val="32"/>
        </w:rPr>
        <w:t xml:space="preserve">                             </w:t>
      </w:r>
    </w:p>
    <w:p w14:paraId="7B91A5C0">
      <w:pPr>
        <w:rPr>
          <w:rFonts w:hint="eastAsia" w:ascii="仿宋" w:hAnsi="仿宋" w:eastAsia="仿宋" w:cs="仿宋"/>
          <w:b/>
          <w:bCs/>
          <w:sz w:val="32"/>
          <w:szCs w:val="32"/>
        </w:rPr>
      </w:pPr>
    </w:p>
    <w:p w14:paraId="06B892F0">
      <w:pPr>
        <w:rPr>
          <w:rFonts w:hint="eastAsia" w:ascii="仿宋" w:hAnsi="仿宋" w:eastAsia="仿宋" w:cs="仿宋"/>
          <w:sz w:val="30"/>
          <w:szCs w:val="30"/>
        </w:rPr>
      </w:pPr>
    </w:p>
    <w:p w14:paraId="3A9302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3"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990F5"/>
    <w:multiLevelType w:val="singleLevel"/>
    <w:tmpl w:val="AFB990F5"/>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B00"/>
    <w:rsid w:val="003F71D6"/>
    <w:rsid w:val="00827CBA"/>
    <w:rsid w:val="008F7B00"/>
    <w:rsid w:val="00A172DA"/>
    <w:rsid w:val="00B06A43"/>
    <w:rsid w:val="00D45376"/>
    <w:rsid w:val="00DA1EB1"/>
    <w:rsid w:val="00F85E99"/>
    <w:rsid w:val="099C6B6A"/>
    <w:rsid w:val="1043363A"/>
    <w:rsid w:val="107C5B60"/>
    <w:rsid w:val="1A885A67"/>
    <w:rsid w:val="229667DE"/>
    <w:rsid w:val="238602F4"/>
    <w:rsid w:val="279E60F4"/>
    <w:rsid w:val="29BA7D86"/>
    <w:rsid w:val="321921D0"/>
    <w:rsid w:val="34A23769"/>
    <w:rsid w:val="3619734B"/>
    <w:rsid w:val="3FA156AF"/>
    <w:rsid w:val="4C073F99"/>
    <w:rsid w:val="4E035DB6"/>
    <w:rsid w:val="5443587D"/>
    <w:rsid w:val="75FA6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5">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0"/>
    <w:pPr>
      <w:spacing w:line="240" w:lineRule="auto"/>
      <w:ind w:left="420" w:leftChars="200" w:firstLine="420" w:firstLineChars="200"/>
    </w:pPr>
  </w:style>
  <w:style w:type="paragraph" w:styleId="3">
    <w:name w:val="Body Text Indent"/>
    <w:basedOn w:val="1"/>
    <w:next w:val="4"/>
    <w:qFormat/>
    <w:uiPriority w:val="0"/>
    <w:pPr>
      <w:spacing w:line="640" w:lineRule="exact"/>
      <w:ind w:left="183" w:leftChars="87" w:firstLine="900" w:firstLineChars="300"/>
    </w:pPr>
    <w:rPr>
      <w:sz w:val="30"/>
    </w:rPr>
  </w:style>
  <w:style w:type="paragraph" w:styleId="4">
    <w:name w:val="envelope return"/>
    <w:basedOn w:val="1"/>
    <w:qFormat/>
    <w:uiPriority w:val="99"/>
    <w:pPr>
      <w:snapToGrid w:val="0"/>
    </w:pPr>
    <w:rPr>
      <w:rFonts w:ascii="Arial" w:hAnsi="Arial"/>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837</Words>
  <Characters>926</Characters>
  <Lines>6</Lines>
  <Paragraphs>1</Paragraphs>
  <TotalTime>1</TotalTime>
  <ScaleCrop>false</ScaleCrop>
  <LinksUpToDate>false</LinksUpToDate>
  <CharactersWithSpaces>957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2025-05-15T07:55:00Z</dcterms:created>
  <dc:creator>Administrator</dc:creator>
  <cp:lastModifiedBy>Administrator</cp:lastModifiedBy>
  <dcterms:modified xsi:type="dcterms:W3CDTF">2025-06-27T06:37:26Z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eyJoZGlkIjoiNGI3ZThiZmZjMjQ0M2FmZGFiYjAzNjc1MTkyYmY4YmYifQ==</vt:lpwstr>
  </property>
  <property fmtid="{D5CDD505-2E9C-101B-9397-08002B2CF9AE}" pid="4" name="ICV">
    <vt:lpwstr>2DE379A896E045BBB20F1F6FDEF9D1CF_12</vt:lpwstr>
  </property>
</Properties>
</file>