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56A14F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jc w:val="center"/>
        <w:textAlignment w:val="auto"/>
        <w:rPr>
          <w:rFonts w:hint="eastAsia" w:ascii="宋体" w:hAnsi="宋体" w:eastAsia="宋体" w:cs="宋体"/>
          <w:color w:val="auto"/>
          <w:kern w:val="2"/>
          <w:sz w:val="44"/>
          <w:szCs w:val="4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kern w:val="2"/>
          <w:sz w:val="44"/>
          <w:szCs w:val="44"/>
          <w:lang w:val="en-US" w:eastAsia="zh-CN" w:bidi="ar-SA"/>
        </w:rPr>
        <w:t>襄州区港产城融合发展</w:t>
      </w:r>
    </w:p>
    <w:p w14:paraId="33F2EAB2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560" w:lineRule="exact"/>
        <w:jc w:val="center"/>
        <w:textAlignment w:val="auto"/>
        <w:rPr>
          <w:rFonts w:hint="eastAsia" w:ascii="宋体" w:hAnsi="宋体" w:eastAsia="宋体" w:cs="宋体"/>
          <w:color w:val="auto"/>
          <w:kern w:val="2"/>
          <w:sz w:val="44"/>
          <w:szCs w:val="44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kern w:val="2"/>
          <w:sz w:val="44"/>
          <w:szCs w:val="44"/>
          <w:lang w:val="en-US" w:eastAsia="zh-CN" w:bidi="ar-SA"/>
        </w:rPr>
        <w:t>规划建设情况汇报</w:t>
      </w:r>
    </w:p>
    <w:p w14:paraId="42BCD20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24F92D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根据市物流发展工作专班《关于召开专题会议通知》精神，襄州区围绕港产城融合升级，聚焦襄阳港唐白河港区布局“前港后厂”临港产业园等情况作如下汇报。</w:t>
      </w:r>
    </w:p>
    <w:p w14:paraId="15FD853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eastAsia="zh-CN"/>
        </w:rPr>
      </w:pPr>
      <w:r>
        <w:rPr>
          <w:rFonts w:hint="eastAsia" w:ascii="黑体" w:hAnsi="黑体" w:eastAsia="黑体" w:cs="黑体"/>
          <w:sz w:val="32"/>
          <w:szCs w:val="32"/>
          <w:lang w:eastAsia="zh-CN"/>
        </w:rPr>
        <w:t>进展情况</w:t>
      </w:r>
    </w:p>
    <w:p w14:paraId="7C6F23F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1"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目前，襄州区正在围绕襄阳港唐白河港区，加快推进赵寨片区土地报批及港区规划、襄州区砂石集并中心运营、</w:t>
      </w:r>
      <w:r>
        <w:rPr>
          <w:rFonts w:hint="eastAsia" w:ascii="仿宋" w:hAnsi="仿宋" w:eastAsia="仿宋" w:cs="仿宋"/>
          <w:spacing w:val="-1"/>
          <w:sz w:val="32"/>
          <w:szCs w:val="32"/>
        </w:rPr>
        <w:t>唐白河港区</w:t>
      </w:r>
      <w:r>
        <w:rPr>
          <w:rFonts w:hint="eastAsia" w:ascii="仿宋" w:hAnsi="仿宋" w:eastAsia="仿宋" w:cs="仿宋"/>
          <w:sz w:val="32"/>
          <w:szCs w:val="32"/>
        </w:rPr>
        <w:t>集疏运公路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襄阳唐白河港区散货物流转运中心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等</w:t>
      </w:r>
      <w:r>
        <w:rPr>
          <w:rFonts w:hint="eastAsia" w:ascii="仿宋" w:hAnsi="仿宋" w:eastAsia="仿宋" w:cs="仿宋"/>
          <w:sz w:val="32"/>
          <w:szCs w:val="32"/>
        </w:rPr>
        <w:t>项目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扎实推进</w:t>
      </w:r>
      <w:r>
        <w:rPr>
          <w:rFonts w:hint="eastAsia" w:ascii="仿宋" w:hAnsi="仿宋" w:eastAsia="仿宋" w:cs="仿宋"/>
          <w:sz w:val="32"/>
          <w:szCs w:val="32"/>
        </w:rPr>
        <w:t>。</w:t>
      </w:r>
    </w:p>
    <w:p w14:paraId="0116D9D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一是规划引领。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为了积极响应襄阳港整体开发建设，襄州区已扎实推进了唐白河港赵寨片区规划，围绕拟用岸线、港口码头、物流用地、产业园区等，组织区资规等部门将相邻区域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规划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预留近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2000亩左右土地，组件报批已至省级层面。目前，唐白河港区赵寨港已纳入正在修编的《襄阳港总体规划（2020～2035年）》，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预计总投资为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84000万元，规划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建设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1000吨级散货进口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泊位7个，利用岸线675米，新增通过能力630万吨，同步建设辅助生产建筑，配备装卸、起吊等机械设备，配套供水、供电等设施。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待《襄阳港总体规划（2020～2035年）》批复后，我区将立即按照程序组织开展建设。</w:t>
      </w:r>
    </w:p>
    <w:p w14:paraId="72FDC54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z w:val="32"/>
          <w:szCs w:val="32"/>
          <w:lang w:val="en-US" w:eastAsia="zh-CN"/>
        </w:rPr>
        <w:t>二是稳定经营。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襄州区砂石集并中心位于襄州区双沟镇赵寨村，上游距G316国道唐白河大桥1公里，系利用原有设施改建。该集并中心已纳入《襄阳市汉江及唐白河砂石集并中心布局和建设规划》（待批），是全市上报省联系办待批的11个永久性砂石集并中心之一</w:t>
      </w:r>
      <w:r>
        <w:rPr>
          <w:rFonts w:hint="eastAsia" w:ascii="仿宋" w:hAnsi="仿宋" w:eastAsia="仿宋" w:cs="仿宋"/>
          <w:sz w:val="32"/>
          <w:szCs w:val="32"/>
        </w:rPr>
        <w:t>，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也是襄阳城区规模最大的砂石集并中心。该中心作业区可</w:t>
      </w:r>
      <w:r>
        <w:rPr>
          <w:rFonts w:hint="eastAsia" w:ascii="仿宋" w:hAnsi="仿宋" w:eastAsia="仿宋" w:cs="仿宋"/>
          <w:sz w:val="32"/>
          <w:szCs w:val="32"/>
        </w:rPr>
        <w:t>与国道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、高速、城市干道快速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相连，</w:t>
      </w:r>
      <w:r>
        <w:rPr>
          <w:rFonts w:hint="eastAsia" w:ascii="仿宋" w:hAnsi="仿宋" w:eastAsia="仿宋" w:cs="仿宋"/>
          <w:sz w:val="32"/>
          <w:szCs w:val="32"/>
        </w:rPr>
        <w:t>交通便利，具备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公水</w:t>
      </w:r>
      <w:r>
        <w:rPr>
          <w:rFonts w:hint="eastAsia" w:ascii="仿宋" w:hAnsi="仿宋" w:eastAsia="仿宋" w:cs="仿宋"/>
          <w:sz w:val="32"/>
          <w:szCs w:val="32"/>
        </w:rPr>
        <w:t>联运基础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条件，服务唐河、白河河道采砂及航道疏浚弃土综合利用，</w:t>
      </w:r>
      <w:r>
        <w:rPr>
          <w:rFonts w:hint="eastAsia" w:ascii="仿宋" w:hAnsi="仿宋" w:eastAsia="仿宋" w:cs="仿宋"/>
          <w:sz w:val="32"/>
          <w:szCs w:val="32"/>
        </w:rPr>
        <w:t>主要辐射高新区、经开区、樊城区、襄州区以及唐河上游河南南阳等地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，砂石重点供应重大基础设施和民生基础设施项目，为稳定保障全市砂石供应起到了积极作用。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目前主要开展砂石贸易，年吞吐量约200万吨，2024年度共缴税2152.14万元。</w:t>
      </w:r>
    </w:p>
    <w:p w14:paraId="4583F25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1" w:line="560" w:lineRule="exact"/>
        <w:ind w:firstLine="636" w:firstLineChars="20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spacing w:val="-1"/>
          <w:sz w:val="32"/>
          <w:szCs w:val="32"/>
          <w:lang w:eastAsia="zh-CN"/>
        </w:rPr>
        <w:t>三是完善通道。</w:t>
      </w:r>
      <w:r>
        <w:rPr>
          <w:rFonts w:hint="eastAsia" w:ascii="仿宋" w:hAnsi="仿宋" w:eastAsia="仿宋" w:cs="仿宋"/>
          <w:spacing w:val="-1"/>
          <w:sz w:val="32"/>
          <w:szCs w:val="32"/>
        </w:rPr>
        <w:t>唐白河港区</w:t>
      </w:r>
      <w:r>
        <w:rPr>
          <w:rFonts w:hint="eastAsia" w:ascii="仿宋" w:hAnsi="仿宋" w:eastAsia="仿宋" w:cs="仿宋"/>
          <w:sz w:val="32"/>
          <w:szCs w:val="32"/>
        </w:rPr>
        <w:t>集疏运公路项目</w:t>
      </w:r>
      <w:r>
        <w:rPr>
          <w:rFonts w:hint="eastAsia" w:ascii="仿宋" w:hAnsi="仿宋" w:eastAsia="仿宋" w:cs="仿宋"/>
          <w:spacing w:val="4"/>
          <w:sz w:val="32"/>
          <w:szCs w:val="32"/>
        </w:rPr>
        <w:t>起点位于陶王岗村，向东北</w:t>
      </w:r>
      <w:r>
        <w:rPr>
          <w:rFonts w:hint="eastAsia" w:ascii="仿宋" w:hAnsi="仿宋" w:eastAsia="仿宋" w:cs="仿宋"/>
          <w:spacing w:val="4"/>
          <w:sz w:val="32"/>
          <w:szCs w:val="32"/>
          <w:lang w:eastAsia="zh-CN"/>
        </w:rPr>
        <w:t>延展</w:t>
      </w:r>
      <w:r>
        <w:rPr>
          <w:rFonts w:hint="eastAsia" w:ascii="仿宋" w:hAnsi="仿宋" w:eastAsia="仿宋" w:cs="仿宋"/>
          <w:spacing w:val="4"/>
          <w:sz w:val="32"/>
          <w:szCs w:val="32"/>
        </w:rPr>
        <w:t>，过陶岗村</w:t>
      </w:r>
      <w:r>
        <w:rPr>
          <w:rFonts w:hint="eastAsia" w:ascii="仿宋" w:hAnsi="仿宋" w:eastAsia="仿宋" w:cs="仿宋"/>
          <w:spacing w:val="2"/>
          <w:sz w:val="32"/>
          <w:szCs w:val="32"/>
        </w:rPr>
        <w:t>下</w:t>
      </w:r>
      <w:r>
        <w:rPr>
          <w:rFonts w:hint="eastAsia" w:ascii="仿宋" w:hAnsi="仿宋" w:eastAsia="仿宋" w:cs="仿宋"/>
          <w:sz w:val="32"/>
          <w:szCs w:val="32"/>
        </w:rPr>
        <w:t>穿</w:t>
      </w:r>
      <w:r>
        <w:rPr>
          <w:rFonts w:hint="eastAsia" w:ascii="仿宋" w:hAnsi="仿宋" w:eastAsia="仿宋" w:cs="仿宋"/>
          <w:spacing w:val="-3"/>
          <w:sz w:val="32"/>
          <w:szCs w:val="32"/>
        </w:rPr>
        <w:t>福</w:t>
      </w:r>
      <w:r>
        <w:rPr>
          <w:rFonts w:hint="eastAsia" w:ascii="仿宋" w:hAnsi="仿宋" w:eastAsia="仿宋" w:cs="仿宋"/>
          <w:spacing w:val="-2"/>
          <w:sz w:val="32"/>
          <w:szCs w:val="32"/>
        </w:rPr>
        <w:t>银高速</w:t>
      </w:r>
      <w:r>
        <w:rPr>
          <w:rFonts w:hint="eastAsia" w:ascii="仿宋" w:hAnsi="仿宋" w:eastAsia="仿宋" w:cs="仿宋"/>
          <w:spacing w:val="-2"/>
          <w:sz w:val="32"/>
          <w:szCs w:val="32"/>
          <w:lang w:eastAsia="zh-CN"/>
        </w:rPr>
        <w:t>公路</w:t>
      </w:r>
      <w:r>
        <w:rPr>
          <w:rFonts w:hint="eastAsia" w:ascii="仿宋" w:hAnsi="仿宋" w:eastAsia="仿宋" w:cs="仿宋"/>
          <w:spacing w:val="-2"/>
          <w:sz w:val="32"/>
          <w:szCs w:val="32"/>
        </w:rPr>
        <w:t>，终点接襄阳东互通</w:t>
      </w:r>
      <w:r>
        <w:rPr>
          <w:rFonts w:hint="eastAsia" w:ascii="仿宋" w:hAnsi="仿宋" w:eastAsia="仿宋" w:cs="仿宋"/>
          <w:spacing w:val="-2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spacing w:val="-8"/>
          <w:sz w:val="32"/>
          <w:szCs w:val="32"/>
        </w:rPr>
        <w:t>路线全长4.02</w:t>
      </w:r>
      <w:r>
        <w:rPr>
          <w:rFonts w:hint="eastAsia" w:ascii="仿宋" w:hAnsi="仿宋" w:eastAsia="仿宋" w:cs="仿宋"/>
          <w:spacing w:val="-8"/>
          <w:sz w:val="32"/>
          <w:szCs w:val="32"/>
          <w:lang w:eastAsia="zh-CN"/>
        </w:rPr>
        <w:t>公里，</w:t>
      </w:r>
      <w:r>
        <w:rPr>
          <w:rFonts w:hint="eastAsia" w:ascii="仿宋" w:hAnsi="仿宋" w:eastAsia="仿宋" w:cs="仿宋"/>
          <w:spacing w:val="-8"/>
          <w:sz w:val="32"/>
          <w:szCs w:val="32"/>
        </w:rPr>
        <w:t>按双向四车道一级公路标准建设， 沥青</w:t>
      </w:r>
      <w:r>
        <w:rPr>
          <w:rFonts w:hint="eastAsia" w:ascii="仿宋" w:hAnsi="仿宋" w:eastAsia="仿宋" w:cs="仿宋"/>
          <w:spacing w:val="-14"/>
          <w:sz w:val="32"/>
          <w:szCs w:val="32"/>
        </w:rPr>
        <w:t>混凝</w:t>
      </w:r>
      <w:r>
        <w:rPr>
          <w:rFonts w:hint="eastAsia" w:ascii="仿宋" w:hAnsi="仿宋" w:eastAsia="仿宋" w:cs="仿宋"/>
          <w:spacing w:val="-14"/>
          <w:sz w:val="32"/>
          <w:szCs w:val="32"/>
          <w:lang w:eastAsia="zh-CN"/>
        </w:rPr>
        <w:t>土</w:t>
      </w:r>
      <w:r>
        <w:rPr>
          <w:rFonts w:hint="eastAsia" w:ascii="仿宋" w:hAnsi="仿宋" w:eastAsia="仿宋" w:cs="仿宋"/>
          <w:spacing w:val="-9"/>
          <w:sz w:val="32"/>
          <w:szCs w:val="32"/>
        </w:rPr>
        <w:t>路</w:t>
      </w:r>
      <w:r>
        <w:rPr>
          <w:rFonts w:hint="eastAsia" w:ascii="仿宋" w:hAnsi="仿宋" w:eastAsia="仿宋" w:cs="仿宋"/>
          <w:spacing w:val="-7"/>
          <w:sz w:val="32"/>
          <w:szCs w:val="32"/>
        </w:rPr>
        <w:t>面</w:t>
      </w:r>
      <w:r>
        <w:rPr>
          <w:rFonts w:hint="eastAsia" w:ascii="仿宋" w:hAnsi="仿宋" w:eastAsia="仿宋" w:cs="仿宋"/>
          <w:spacing w:val="-7"/>
          <w:sz w:val="32"/>
          <w:szCs w:val="32"/>
          <w:lang w:eastAsia="zh-CN"/>
        </w:rPr>
        <w:t>，</w:t>
      </w:r>
      <w:r>
        <w:rPr>
          <w:rFonts w:hint="eastAsia" w:ascii="仿宋" w:hAnsi="仿宋" w:eastAsia="仿宋" w:cs="仿宋"/>
          <w:spacing w:val="-7"/>
          <w:sz w:val="32"/>
          <w:szCs w:val="32"/>
        </w:rPr>
        <w:t>主要建设内容包括路基、路面、桥</w:t>
      </w:r>
      <w:r>
        <w:rPr>
          <w:rFonts w:hint="eastAsia" w:ascii="仿宋" w:hAnsi="仿宋" w:eastAsia="仿宋" w:cs="仿宋"/>
          <w:spacing w:val="-1"/>
          <w:sz w:val="32"/>
          <w:szCs w:val="32"/>
        </w:rPr>
        <w:t>梁涵洞、交叉工程</w:t>
      </w:r>
      <w:r>
        <w:rPr>
          <w:rFonts w:hint="eastAsia" w:ascii="仿宋" w:hAnsi="仿宋" w:eastAsia="仿宋" w:cs="仿宋"/>
          <w:sz w:val="32"/>
          <w:szCs w:val="32"/>
        </w:rPr>
        <w:t>及沿线设施、绿化及环境保护工程等</w:t>
      </w:r>
      <w:r>
        <w:rPr>
          <w:rFonts w:hint="eastAsia" w:ascii="仿宋" w:hAnsi="仿宋" w:eastAsia="仿宋" w:cs="仿宋"/>
          <w:spacing w:val="-7"/>
          <w:sz w:val="32"/>
          <w:szCs w:val="32"/>
          <w:lang w:eastAsia="zh-CN"/>
        </w:rPr>
        <w:t>。目前，正在进行</w:t>
      </w:r>
      <w:r>
        <w:rPr>
          <w:rFonts w:hint="eastAsia" w:ascii="仿宋" w:hAnsi="仿宋" w:eastAsia="仿宋" w:cs="仿宋"/>
          <w:spacing w:val="-7"/>
          <w:sz w:val="32"/>
          <w:szCs w:val="32"/>
          <w:lang w:val="en-US" w:eastAsia="zh-CN"/>
        </w:rPr>
        <w:t>单幅开挖2000米，起点右侧1000米已开挖完成，路床回填第一层完成，正在回填第二层，终点左侧1000米开挖和回填已全部完成，开始摊铺第一层水稳。</w:t>
      </w:r>
    </w:p>
    <w:p w14:paraId="2EAFA3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</w:pPr>
      <w:r>
        <w:rPr>
          <w:rFonts w:hint="eastAsia" w:ascii="楷体" w:hAnsi="楷体" w:eastAsia="楷体" w:cs="楷体"/>
          <w:color w:val="auto"/>
          <w:sz w:val="32"/>
          <w:szCs w:val="32"/>
          <w:lang w:val="en-US" w:eastAsia="zh-CN"/>
        </w:rPr>
        <w:t>四是布局园区。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襄阳唐白河港区散货物流转运中心项目紧邻赵寨砂石集并中心，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总投资37677.73万元，用地面积101.9亩，总建筑面积40769.01平方米，绿地面积5434.47平方米，其中，货运中心区建设货物转运仓库30699.01平方米,散货冷库5650平方米，配套综合楼2700平方米。项目于2024年5月取得备案证，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土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地已摘牌，项目规划设计已通过核准，已办理建设工程规划许可证、建设工程施工许可证，由襄州区交通建设投资有限责任公司作为业主单位，中铁十一局集团有限公司承建。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建设工期</w:t>
      </w:r>
      <w:r>
        <w:rPr>
          <w:rFonts w:hint="eastAsia" w:ascii="仿宋" w:hAnsi="仿宋" w:eastAsia="仿宋" w:cs="仿宋"/>
          <w:color w:val="auto"/>
          <w:sz w:val="32"/>
          <w:szCs w:val="32"/>
          <w:lang w:val="en-US" w:eastAsia="zh-CN"/>
        </w:rPr>
        <w:t>为2025年4月至2026年9月。该园区项目已于2025年3月底开工，已完成启动区5万平方米清表、清淤，正在进行土方回填。计划6月底完成散货仓库预应力管桩施工以及辅助生产区基础和基坑工程，8月底完成散货仓库基础工程施工，11月份完成辅助生产区主体工程施工，12月份完成仓库的主体结构施工。</w:t>
      </w:r>
    </w:p>
    <w:p w14:paraId="478AD4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color w:val="auto"/>
          <w:sz w:val="32"/>
          <w:szCs w:val="32"/>
          <w:lang w:val="en-US" w:eastAsia="zh-CN"/>
        </w:rPr>
        <w:t>二、存在问题</w:t>
      </w:r>
    </w:p>
    <w:p w14:paraId="55B98C7A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襄阳港唐白河港区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处于长江流域与淮河、黄河流域相交的关键节点，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地理位置十分显要，一旦将港口基础设施配套建设完成，航道彻底贯通，必将改变我国中部地区大宗货物流通格局，促进各类物资在襄阳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流通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集聚和加工制造，加快规划建设是大势所趋。从现实情况看，还存在港口规划审批较慢、市场研究不够深入等突出问题，造成产业导入难以奏效，港产城融合发展规划和临港产业园布局不易落实。</w:t>
      </w:r>
    </w:p>
    <w:p w14:paraId="288F62EE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三、下步措施</w:t>
      </w:r>
    </w:p>
    <w:p w14:paraId="6A3A8DFD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为加快推进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港产城融合升级，聚焦襄阳港唐白河港区布局“前港后厂”临港产业园等工作，我区将采取以下工作措施。</w:t>
      </w:r>
    </w:p>
    <w:p w14:paraId="74CB3185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一是加强领导。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积极向区委、区政府做好汇报，充分发挥工作专班协调作用，集中力量围绕规划审批、要素保障等关键工作加力推进。</w:t>
      </w:r>
    </w:p>
    <w:p w14:paraId="0C3ACD69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二是深入研究。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组织专业人员、邀请知名咨询机构围绕港产城融合发展开展研讨，分析具备的有利条件，找出存在的不利因素，充分结合实际，借鉴各地内河港口规划、建设、运营经验，明确工作路径图和时间表，挂图作战，确保实效。</w:t>
      </w:r>
    </w:p>
    <w:p w14:paraId="39743DF7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楷体" w:hAnsi="楷体" w:eastAsia="楷体" w:cs="楷体"/>
          <w:sz w:val="32"/>
          <w:szCs w:val="32"/>
          <w:lang w:eastAsia="zh-CN"/>
        </w:rPr>
        <w:t>三是整合资源。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发挥发改、交通、科经、农业、招商等部门优势，围绕打造临港产业园所需目标，广泛对接政策、市场等资源，立足建设汉江流域乃至中部地区货物流通多式联运枢纽的定位，广泛对接项目和企业，探索一条产业链和供应链深度融合，港产城精准链接的可持续发展之路。</w:t>
      </w:r>
    </w:p>
    <w:p w14:paraId="381C9239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</w:p>
    <w:p w14:paraId="0E510596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" w:hAnsi="仿宋" w:eastAsia="仿宋" w:cs="仿宋"/>
          <w:sz w:val="32"/>
          <w:szCs w:val="32"/>
          <w:lang w:eastAsia="zh-CN"/>
        </w:rPr>
      </w:pPr>
    </w:p>
    <w:p w14:paraId="2BD7F696">
      <w:pPr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                      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2025年</w:t>
      </w:r>
      <w:bookmarkStart w:id="0" w:name="_GoBack"/>
      <w:bookmarkEnd w:id="0"/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6月18日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8"/>
    <w:family w:val="moder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00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5046C3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35D376A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35D376A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E567B5"/>
    <w:multiLevelType w:val="singleLevel"/>
    <w:tmpl w:val="49E567B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FE44AE"/>
    <w:rsid w:val="22FE49AF"/>
    <w:rsid w:val="2B163BA8"/>
    <w:rsid w:val="2D8F7C42"/>
    <w:rsid w:val="3C117CFA"/>
    <w:rsid w:val="3DD27E02"/>
    <w:rsid w:val="3ED74B5E"/>
    <w:rsid w:val="45AC01E4"/>
    <w:rsid w:val="47185278"/>
    <w:rsid w:val="4C902B89"/>
    <w:rsid w:val="4F6E725F"/>
    <w:rsid w:val="569F26B8"/>
    <w:rsid w:val="67464A56"/>
    <w:rsid w:val="7A62645F"/>
    <w:rsid w:val="7B0F7299"/>
    <w:rsid w:val="7C4A4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1658</Words>
  <Characters>1779</Characters>
  <Lines>0</Lines>
  <Paragraphs>0</Paragraphs>
  <TotalTime>28</TotalTime>
  <ScaleCrop>false</ScaleCrop>
  <LinksUpToDate>false</LinksUpToDate>
  <CharactersWithSpaces>1781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2025-06-18T00:47:00Z</dcterms:created>
  <dc:creator>Administrator</dc:creator>
  <cp:lastModifiedBy>Administrator</cp:lastModifiedBy>
  <dcterms:modified xsi:type="dcterms:W3CDTF">2025-06-18T10:11:54Z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eyJoZGlkIjoiNGI3ZThiZmZjMjQ0M2FmZGFiYjAzNjc1MTkyYmY4YmYifQ==</vt:lpwstr>
  </property>
  <property fmtid="{D5CDD505-2E9C-101B-9397-08002B2CF9AE}" pid="4" name="ICV">
    <vt:lpwstr>E30B216D35614E688F6615984DB56F63_12</vt:lpwstr>
  </property>
</Properties>
</file>