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D6DA1" w14:textId="02FFE256" w:rsidR="00A20B57" w:rsidRDefault="003232A0">
      <w:pPr>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bookmarkStart w:id="0" w:name="_GoBack"/>
      <w:bookmarkEnd w:id="0"/>
      <w:r>
        <w:rPr>
          <w:rFonts w:ascii="Segoe UI" w:hAnsi="Segoe UI" w:cs="Segoe UI"/>
          <w:sz w:val="21"/>
          <w:szCs w:val="21"/>
          <w:shd w:val="clear" w:color="auto" w:fill="FFFFFF"/>
        </w:rPr>
        <w:t>Performans Test Süreci</w:t>
      </w:r>
      <w:r>
        <w:rPr>
          <w:rFonts w:ascii="Segoe UI" w:hAnsi="Segoe UI" w:cs="Segoe UI"/>
          <w:sz w:val="21"/>
          <w:szCs w:val="21"/>
        </w:rPr>
        <w:br/>
      </w:r>
      <w:r>
        <w:rPr>
          <w:rFonts w:ascii="Segoe UI" w:hAnsi="Segoe UI" w:cs="Segoe UI"/>
          <w:sz w:val="21"/>
          <w:szCs w:val="21"/>
          <w:shd w:val="clear" w:color="auto" w:fill="FFFFFF"/>
        </w:rPr>
        <w:t>Bir performans testinin planlanması ve yürütülmesi, kullandığımız araçtan bağımsız olarak her performans testinde ortak olan farklı bir dizi faaliyet gerektirir. Aşağıda, bir yük testini planlamak ve yürütmek için adım adım bir kılavuz yer almaktadır.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 Performans testi senaryoları</w:t>
      </w:r>
      <w:r>
        <w:rPr>
          <w:rFonts w:ascii="Segoe UI" w:hAnsi="Segoe UI" w:cs="Segoe UI"/>
          <w:sz w:val="21"/>
          <w:szCs w:val="21"/>
        </w:rPr>
        <w:br/>
      </w:r>
      <w:r>
        <w:rPr>
          <w:rFonts w:ascii="Segoe UI" w:hAnsi="Segoe UI" w:cs="Segoe UI"/>
          <w:sz w:val="21"/>
          <w:szCs w:val="21"/>
          <w:shd w:val="clear" w:color="auto" w:fill="FFFFFF"/>
        </w:rPr>
        <w:t>Öncelikle performans testi yapılması gereken test senaryolarını seçiyoruz. Normalde, uygulamanın tüm işlevsel test senaryolarını seçmek yerine, yalnızca çok yüksek hacimli veya nispeten çok sayıda kullanıcı tarafından gerçekleştirilecek senaryoları seçiyoruz. Örnek bir test senaryosu şu şekilde olabilir: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Uygulamayı başlat</w:t>
      </w:r>
      <w:r>
        <w:rPr>
          <w:rFonts w:ascii="Segoe UI" w:hAnsi="Segoe UI" w:cs="Segoe UI"/>
          <w:sz w:val="21"/>
          <w:szCs w:val="21"/>
        </w:rPr>
        <w:br/>
      </w:r>
      <w:r>
        <w:rPr>
          <w:rFonts w:ascii="Segoe UI" w:hAnsi="Segoe UI" w:cs="Segoe UI"/>
          <w:sz w:val="21"/>
          <w:szCs w:val="21"/>
          <w:shd w:val="clear" w:color="auto" w:fill="FFFFFF"/>
        </w:rPr>
        <w:t>Bekleme süresi</w:t>
      </w:r>
      <w:r>
        <w:rPr>
          <w:rFonts w:ascii="Segoe UI" w:hAnsi="Segoe UI" w:cs="Segoe UI"/>
          <w:sz w:val="21"/>
          <w:szCs w:val="21"/>
        </w:rPr>
        <w:br/>
      </w:r>
      <w:r>
        <w:rPr>
          <w:rFonts w:ascii="Segoe UI" w:hAnsi="Segoe UI" w:cs="Segoe UI"/>
          <w:sz w:val="21"/>
          <w:szCs w:val="21"/>
          <w:shd w:val="clear" w:color="auto" w:fill="FFFFFF"/>
        </w:rPr>
        <w:t>Geçerli kimlik bilgilerini girin ve Giriş düğmesine tıklayın</w:t>
      </w:r>
      <w:r>
        <w:rPr>
          <w:rFonts w:ascii="Segoe UI" w:hAnsi="Segoe UI" w:cs="Segoe UI"/>
          <w:sz w:val="21"/>
          <w:szCs w:val="21"/>
        </w:rPr>
        <w:br/>
      </w:r>
      <w:r>
        <w:rPr>
          <w:rFonts w:ascii="Segoe UI" w:hAnsi="Segoe UI" w:cs="Segoe UI"/>
          <w:sz w:val="21"/>
          <w:szCs w:val="21"/>
          <w:shd w:val="clear" w:color="auto" w:fill="FFFFFF"/>
        </w:rPr>
        <w:t>Bekleme süresi</w:t>
      </w:r>
      <w:r>
        <w:rPr>
          <w:rFonts w:ascii="Segoe UI" w:hAnsi="Segoe UI" w:cs="Segoe UI"/>
          <w:sz w:val="21"/>
          <w:szCs w:val="21"/>
        </w:rPr>
        <w:br/>
      </w:r>
      <w:r>
        <w:rPr>
          <w:rFonts w:ascii="Segoe UI" w:hAnsi="Segoe UI" w:cs="Segoe UI"/>
          <w:sz w:val="21"/>
          <w:szCs w:val="21"/>
          <w:shd w:val="clear" w:color="auto" w:fill="FFFFFF"/>
        </w:rPr>
        <w:t>Ana sayfada bazı etkinlikler gerçekleştirin</w:t>
      </w:r>
      <w:r>
        <w:rPr>
          <w:rFonts w:ascii="Segoe UI" w:hAnsi="Segoe UI" w:cs="Segoe UI"/>
          <w:sz w:val="21"/>
          <w:szCs w:val="21"/>
        </w:rPr>
        <w:br/>
      </w:r>
      <w:r>
        <w:rPr>
          <w:rFonts w:ascii="Segoe UI" w:hAnsi="Segoe UI" w:cs="Segoe UI"/>
          <w:sz w:val="21"/>
          <w:szCs w:val="21"/>
          <w:shd w:val="clear" w:color="auto" w:fill="FFFFFF"/>
        </w:rPr>
        <w:t>Bekleme süresi</w:t>
      </w:r>
      <w:r>
        <w:rPr>
          <w:rFonts w:ascii="Segoe UI" w:hAnsi="Segoe UI" w:cs="Segoe UI"/>
          <w:sz w:val="21"/>
          <w:szCs w:val="21"/>
        </w:rPr>
        <w:br/>
      </w:r>
      <w:r>
        <w:rPr>
          <w:rFonts w:ascii="Segoe UI" w:hAnsi="Segoe UI" w:cs="Segoe UI"/>
          <w:sz w:val="21"/>
          <w:szCs w:val="21"/>
          <w:shd w:val="clear" w:color="auto" w:fill="FFFFFF"/>
        </w:rPr>
        <w:t>Çıkış düğmesine tıklayın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Burada, Bekleme süresi, kullanıcının yüklendikten sonra web sayfasından geçmesi için geçen süredir; oturum açma formu, kullanıcı kayıt formu, arama alanlarına veri girme vb. formları doldurmak için geçen süre. </w:t>
      </w:r>
      <w:proofErr w:type="gramStart"/>
      <w:r>
        <w:rPr>
          <w:rFonts w:ascii="Segoe UI" w:hAnsi="Segoe UI" w:cs="Segoe UI"/>
          <w:sz w:val="21"/>
          <w:szCs w:val="21"/>
          <w:shd w:val="clear" w:color="auto" w:fill="FFFFFF"/>
        </w:rPr>
        <w:t>sadece</w:t>
      </w:r>
      <w:proofErr w:type="gramEnd"/>
      <w:r>
        <w:rPr>
          <w:rFonts w:ascii="Segoe UI" w:hAnsi="Segoe UI" w:cs="Segoe UI"/>
          <w:sz w:val="21"/>
          <w:szCs w:val="21"/>
          <w:shd w:val="clear" w:color="auto" w:fill="FFFFFF"/>
        </w:rPr>
        <w:t xml:space="preserve"> oturum açma kimlik bilgilerini doldurun, yalnızca 2 ila 3 saniye olabilir.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 Kullanıcı Dağılımı</w:t>
      </w:r>
      <w:r>
        <w:rPr>
          <w:rFonts w:ascii="Segoe UI" w:hAnsi="Segoe UI" w:cs="Segoe UI"/>
          <w:sz w:val="21"/>
          <w:szCs w:val="21"/>
        </w:rPr>
        <w:br/>
      </w:r>
      <w:r>
        <w:rPr>
          <w:rFonts w:ascii="Segoe UI" w:hAnsi="Segoe UI" w:cs="Segoe UI"/>
          <w:sz w:val="21"/>
          <w:szCs w:val="21"/>
          <w:shd w:val="clear" w:color="auto" w:fill="FFFFFF"/>
        </w:rPr>
        <w:t>Senaryolar belirlendikten sonra, bir sonraki adım kullanıcı dağıtımıdır. Burada kullanıcıları farklı senaryolara atıyoruz. Örneğin, bir e-posta uygulamasının performans testini yaparken, kullanıcıyı aşağıdaki gibi farklı senaryolara dağıtabiliriz:</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Okunmamış bir posta senaryosunu okuyan kullanıcı – kullanıcıların %50'si</w:t>
      </w:r>
      <w:r>
        <w:rPr>
          <w:rFonts w:ascii="Segoe UI" w:hAnsi="Segoe UI" w:cs="Segoe UI"/>
          <w:sz w:val="21"/>
          <w:szCs w:val="21"/>
        </w:rPr>
        <w:br/>
      </w:r>
      <w:r>
        <w:rPr>
          <w:rFonts w:ascii="Segoe UI" w:hAnsi="Segoe UI" w:cs="Segoe UI"/>
          <w:sz w:val="21"/>
          <w:szCs w:val="21"/>
          <w:shd w:val="clear" w:color="auto" w:fill="FFFFFF"/>
        </w:rPr>
        <w:t>E-posta oluşturun – %30 kullanıcı</w:t>
      </w:r>
      <w:r>
        <w:rPr>
          <w:rFonts w:ascii="Segoe UI" w:hAnsi="Segoe UI" w:cs="Segoe UI"/>
          <w:sz w:val="21"/>
          <w:szCs w:val="21"/>
        </w:rPr>
        <w:br/>
      </w:r>
      <w:r>
        <w:rPr>
          <w:rFonts w:ascii="Segoe UI" w:hAnsi="Segoe UI" w:cs="Segoe UI"/>
          <w:sz w:val="21"/>
          <w:szCs w:val="21"/>
          <w:shd w:val="clear" w:color="auto" w:fill="FFFFFF"/>
        </w:rPr>
        <w:t>E-postayı sil – %18 kullanıcı</w:t>
      </w:r>
      <w:r>
        <w:rPr>
          <w:rFonts w:ascii="Segoe UI" w:hAnsi="Segoe UI" w:cs="Segoe UI"/>
          <w:sz w:val="21"/>
          <w:szCs w:val="21"/>
        </w:rPr>
        <w:br/>
      </w:r>
      <w:proofErr w:type="spellStart"/>
      <w:r>
        <w:rPr>
          <w:rFonts w:ascii="Segoe UI" w:hAnsi="Segoe UI" w:cs="Segoe UI"/>
          <w:sz w:val="21"/>
          <w:szCs w:val="21"/>
          <w:shd w:val="clear" w:color="auto" w:fill="FFFFFF"/>
        </w:rPr>
        <w:t>Kullanıcı</w:t>
      </w:r>
      <w:proofErr w:type="spellEnd"/>
      <w:r>
        <w:rPr>
          <w:rFonts w:ascii="Segoe UI" w:hAnsi="Segoe UI" w:cs="Segoe UI"/>
          <w:sz w:val="21"/>
          <w:szCs w:val="21"/>
          <w:shd w:val="clear" w:color="auto" w:fill="FFFFFF"/>
        </w:rPr>
        <w:t xml:space="preserve"> kaydı – %2 kullanıcı</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3. Komut dosyası oluşturma</w:t>
      </w:r>
      <w:r>
        <w:rPr>
          <w:rFonts w:ascii="Segoe UI" w:hAnsi="Segoe UI" w:cs="Segoe UI"/>
          <w:sz w:val="21"/>
          <w:szCs w:val="21"/>
        </w:rPr>
        <w:br/>
      </w:r>
      <w:r>
        <w:rPr>
          <w:rFonts w:ascii="Segoe UI" w:hAnsi="Segoe UI" w:cs="Segoe UI"/>
          <w:sz w:val="21"/>
          <w:szCs w:val="21"/>
          <w:shd w:val="clear" w:color="auto" w:fill="FFFFFF"/>
        </w:rPr>
        <w:t xml:space="preserve">Komut dosyası oluşturma, </w:t>
      </w:r>
      <w:proofErr w:type="spellStart"/>
      <w:r>
        <w:rPr>
          <w:rFonts w:ascii="Segoe UI" w:hAnsi="Segoe UI" w:cs="Segoe UI"/>
          <w:sz w:val="21"/>
          <w:szCs w:val="21"/>
          <w:shd w:val="clear" w:color="auto" w:fill="FFFFFF"/>
        </w:rPr>
        <w:t>Load</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Runner</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JMeter</w:t>
      </w:r>
      <w:proofErr w:type="spellEnd"/>
      <w:r>
        <w:rPr>
          <w:rFonts w:ascii="Segoe UI" w:hAnsi="Segoe UI" w:cs="Segoe UI"/>
          <w:sz w:val="21"/>
          <w:szCs w:val="21"/>
          <w:shd w:val="clear" w:color="auto" w:fill="FFFFFF"/>
        </w:rPr>
        <w:t xml:space="preserve">, Silk </w:t>
      </w:r>
      <w:proofErr w:type="spellStart"/>
      <w:r>
        <w:rPr>
          <w:rFonts w:ascii="Segoe UI" w:hAnsi="Segoe UI" w:cs="Segoe UI"/>
          <w:sz w:val="21"/>
          <w:szCs w:val="21"/>
          <w:shd w:val="clear" w:color="auto" w:fill="FFFFFF"/>
        </w:rPr>
        <w:t>Performer</w:t>
      </w:r>
      <w:proofErr w:type="spellEnd"/>
      <w:r>
        <w:rPr>
          <w:rFonts w:ascii="Segoe UI" w:hAnsi="Segoe UI" w:cs="Segoe UI"/>
          <w:sz w:val="21"/>
          <w:szCs w:val="21"/>
          <w:shd w:val="clear" w:color="auto" w:fill="FFFFFF"/>
        </w:rPr>
        <w:t xml:space="preserve">, vb. gibi bir yük testi aracıyla yapılır. Bu araçlar, kullanıcılar tarafından gerçekleştirilen eylemleri </w:t>
      </w:r>
      <w:proofErr w:type="spellStart"/>
      <w:r>
        <w:rPr>
          <w:rFonts w:ascii="Segoe UI" w:hAnsi="Segoe UI" w:cs="Segoe UI"/>
          <w:sz w:val="21"/>
          <w:szCs w:val="21"/>
          <w:shd w:val="clear" w:color="auto" w:fill="FFFFFF"/>
        </w:rPr>
        <w:t>simüle</w:t>
      </w:r>
      <w:proofErr w:type="spellEnd"/>
      <w:r>
        <w:rPr>
          <w:rFonts w:ascii="Segoe UI" w:hAnsi="Segoe UI" w:cs="Segoe UI"/>
          <w:sz w:val="21"/>
          <w:szCs w:val="21"/>
          <w:shd w:val="clear" w:color="auto" w:fill="FFFFFF"/>
        </w:rPr>
        <w:t xml:space="preserve"> eder. Tanımlanan senaryoları yazıp, kullanıcı dağılımına göre kullanıcıları onlara atarız.</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4. Prova</w:t>
      </w:r>
      <w:r>
        <w:rPr>
          <w:rFonts w:ascii="Segoe UI" w:hAnsi="Segoe UI" w:cs="Segoe UI"/>
          <w:sz w:val="21"/>
          <w:szCs w:val="21"/>
        </w:rPr>
        <w:br/>
      </w:r>
      <w:r>
        <w:rPr>
          <w:rFonts w:ascii="Segoe UI" w:hAnsi="Segoe UI" w:cs="Segoe UI"/>
          <w:sz w:val="21"/>
          <w:szCs w:val="21"/>
          <w:shd w:val="clear" w:color="auto" w:fill="FFFFFF"/>
        </w:rPr>
        <w:t>Önceden tanımlanmış sayıda kullanıcıyla yük testine fiilen başlamadan önce, her senaryoya 1 veya 2 kullanıcı atayarak ve her şeyin düzgün çalışıp çalışmadığını kontrol ederek uygulamanın provasını yaparız.</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5. Testi çalıştırma ve sonuçları analiz etme</w:t>
      </w:r>
      <w:r>
        <w:rPr>
          <w:rFonts w:ascii="Segoe UI" w:hAnsi="Segoe UI" w:cs="Segoe UI"/>
          <w:sz w:val="21"/>
          <w:szCs w:val="21"/>
        </w:rPr>
        <w:br/>
      </w:r>
      <w:r>
        <w:rPr>
          <w:rFonts w:ascii="Segoe UI" w:hAnsi="Segoe UI" w:cs="Segoe UI"/>
          <w:sz w:val="21"/>
          <w:szCs w:val="21"/>
          <w:shd w:val="clear" w:color="auto" w:fill="FFFFFF"/>
        </w:rPr>
        <w:t xml:space="preserve">Provadan sonra ve betiklerin iyi çalıştığından emin olduktan sonra gerçek yük testiyle başlıyoruz. </w:t>
      </w:r>
      <w:r>
        <w:rPr>
          <w:rFonts w:ascii="Segoe UI" w:hAnsi="Segoe UI" w:cs="Segoe UI"/>
          <w:sz w:val="21"/>
          <w:szCs w:val="21"/>
          <w:shd w:val="clear" w:color="auto" w:fill="FFFFFF"/>
        </w:rPr>
        <w:lastRenderedPageBreak/>
        <w:t>Yük testi, önceden tanımlanmış süre veya yinelemeler için yürütülebilir. Örneğin, kullanıcı başına 'n' dakika veya 'm' yineleme için bir yük testi planlanabilir.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Yük testinin yürütülmesinden sonra sonucu analiz edilir. Bazı açık kaynak araçlar, test sonuçlarının yorumlanması için çok iyi bir dahili kontrole sahip olmayabilir. Bu durumlarda, daha gelişmiş veya grafiksel olarak sezgisel yorumlamayı dahil etmek için eklentilerin veya diğer araçların kullanılması gerekebilir.</w:t>
      </w:r>
    </w:p>
    <w:p w14:paraId="59B92C39" w14:textId="2FE27561" w:rsidR="003232A0" w:rsidRDefault="003232A0"/>
    <w:p w14:paraId="1DBDC895" w14:textId="35562E48" w:rsidR="003232A0" w:rsidRDefault="003232A0">
      <w:r>
        <w:rPr>
          <w:noProof/>
        </w:rPr>
        <w:drawing>
          <wp:inline distT="0" distB="0" distL="0" distR="0" wp14:anchorId="24AEA534" wp14:editId="1DD0E961">
            <wp:extent cx="5760720" cy="4005834"/>
            <wp:effectExtent l="0" t="0" r="0" b="0"/>
            <wp:docPr id="1" name="Resim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005834"/>
                    </a:xfrm>
                    <a:prstGeom prst="rect">
                      <a:avLst/>
                    </a:prstGeom>
                    <a:noFill/>
                    <a:ln>
                      <a:noFill/>
                    </a:ln>
                  </pic:spPr>
                </pic:pic>
              </a:graphicData>
            </a:graphic>
          </wp:inline>
        </w:drawing>
      </w:r>
    </w:p>
    <w:sectPr w:rsidR="003232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EF"/>
    <w:rsid w:val="00135064"/>
    <w:rsid w:val="003232A0"/>
    <w:rsid w:val="00A335EF"/>
    <w:rsid w:val="00DE36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423A7"/>
  <w15:chartTrackingRefBased/>
  <w15:docId w15:val="{E5DD80D9-2948-4AEC-AD8A-F287454B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2023-01-16T22:31:00Z</dcterms:created>
  <dcterms:modified xsi:type="dcterms:W3CDTF">2023-01-16T22:31:00Z</dcterms:modified>
</cp:coreProperties>
</file>