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rFonts w:ascii="Aptos Display" w:hAnsi="Aptos Display"/>
          <w:b/>
          <w:color w:val="625BFF"/>
          <w:sz w:val="38"/>
        </w:rPr>
        <w:t>YuvaIntern</w:t>
      </w:r>
    </w:p>
    <w:p>
      <w:pPr>
        <w:spacing w:after="960"/>
      </w:pPr>
      <w:r>
        <w:rPr>
          <w:color w:val="626879"/>
          <w:sz w:val="20"/>
        </w:rPr>
        <w:t>Amanjeet</w:t>
      </w:r>
    </w:p>
    <w:p>
      <w:r>
        <w:rPr>
          <w:b/>
          <w:color w:val="E9367A"/>
          <w:sz w:val="20"/>
        </w:rPr>
        <w:t>WEEK 4 INTERNSHIP REPORT</w:t>
      </w:r>
    </w:p>
    <w:p>
      <w:pPr>
        <w:pStyle w:val="Title"/>
        <w:spacing w:after="200"/>
      </w:pPr>
      <w:r>
        <w:t>Coding Style Guidelines</w:t>
        <w:br/>
        <w:t>&amp; Inline Documentation</w:t>
      </w:r>
    </w:p>
    <w:p>
      <w:r>
        <w:rPr>
          <w:b/>
          <w:color w:val="E9367A"/>
          <w:sz w:val="22"/>
        </w:rPr>
        <w:t>15 October 2026</w:t>
      </w:r>
    </w:p>
    <w:p/>
    <w:tbl>
      <w:tblPr>
        <w:tblW w:type="auto" w:w="0"/>
        <w:tblLook w:firstColumn="1" w:firstRow="1" w:lastColumn="0" w:lastRow="0" w:noHBand="0" w:noVBand="1" w:val="04A0"/>
      </w:tblPr>
      <w:tblGrid>
        <w:gridCol w:w="9994"/>
      </w:tblGrid>
      <w:tr>
        <w:tc>
          <w:tcPr>
            <w:tcW w:type="dxa" w:w="9994"/>
            <w:shd w:fill="E9367A"/>
          </w:tcPr>
          <w:p>
            <w:r/>
          </w:p>
        </w:tc>
      </w:tr>
    </w:tbl>
    <w:p/>
    <w:p>
      <w:pPr>
        <w:pStyle w:val="Heading2"/>
      </w:pPr>
      <w:r>
        <w:t>Internship and Job Opportunity Management System</w:t>
      </w:r>
    </w:p>
    <w:p>
      <w:r>
        <w:t>This report sets out a practical set of coding and documentation rules for the planned project. The aim is to make the code easier for me and other student developers to read, review, and maintain as development continues.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Item</w:t>
            </w:r>
          </w:p>
        </w:tc>
        <w:tc>
          <w:tcPr>
            <w:tcW w:type="dxa" w:w="6912"/>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Details</w:t>
            </w:r>
          </w:p>
        </w:tc>
      </w:tr>
      <w:tr>
        <w:tc>
          <w:tcPr>
            <w:tcW w:type="dxa" w:w="288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Internship task</w:t>
            </w:r>
          </w:p>
        </w:tc>
        <w:tc>
          <w:tcPr>
            <w:tcW w:type="dxa" w:w="6912"/>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Week 4 — Coding Style Guidelines &amp; Inline Documentation</w:t>
            </w:r>
          </w:p>
        </w:tc>
      </w:tr>
      <w:tr>
        <w:tc>
          <w:tcPr>
            <w:tcW w:type="dxa" w:w="2880"/>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Project</w:t>
            </w:r>
          </w:p>
        </w:tc>
        <w:tc>
          <w:tcPr>
            <w:tcW w:type="dxa" w:w="6912"/>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Internship &amp; Job Opportunity Management System</w:t>
            </w:r>
          </w:p>
        </w:tc>
      </w:tr>
      <w:tr>
        <w:tc>
          <w:tcPr>
            <w:tcW w:type="dxa" w:w="288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Planned technology stack</w:t>
            </w:r>
          </w:p>
        </w:tc>
        <w:tc>
          <w:tcPr>
            <w:tcW w:type="dxa" w:w="6912"/>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Java, Spring Boot, HTML/CSS/JavaScript, MySQL, Git/GitHub</w:t>
            </w:r>
          </w:p>
        </w:tc>
      </w:tr>
      <w:tr>
        <w:tc>
          <w:tcPr>
            <w:tcW w:type="dxa" w:w="2880"/>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Report approach</w:t>
            </w:r>
          </w:p>
        </w:tc>
        <w:tc>
          <w:tcPr>
            <w:tcW w:type="dxa" w:w="6912"/>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Student-level guidelines with illustrative examples and a suggested workflow</w:t>
            </w:r>
          </w:p>
        </w:tc>
      </w:tr>
    </w:tbl>
    <w:p>
      <w:pPr>
        <w:spacing w:after="20"/>
      </w:pPr>
    </w:p>
    <w:p/>
    <w:p>
      <w:r>
        <w:rPr>
          <w:i/>
          <w:color w:val="626879"/>
          <w:sz w:val="17"/>
        </w:rPr>
        <w:t>Note: Examples in this report are proposals for the planned system. They do not claim that the shown code or tools have already been implemented.</w:t>
      </w:r>
    </w:p>
    <w:p>
      <w:r>
        <w:br w:type="page"/>
      </w:r>
    </w:p>
    <w:p>
      <w:pPr>
        <w:pStyle w:val="Heading1"/>
      </w:pPr>
      <w:r>
        <w:t>Contents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296"/>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Section</w:t>
            </w:r>
          </w:p>
        </w:tc>
        <w:tc>
          <w:tcPr>
            <w:tcW w:type="dxa" w:w="8496"/>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Topic</w:t>
            </w:r>
          </w:p>
        </w:tc>
      </w:tr>
      <w:tr>
        <w:tc>
          <w:tcPr>
            <w:tcW w:type="dxa" w:w="129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01</w:t>
            </w:r>
          </w:p>
        </w:tc>
        <w:tc>
          <w:tcPr>
            <w:tcW w:type="dxa" w:w="849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Introduction and link to previous weeks</w:t>
            </w:r>
          </w:p>
        </w:tc>
      </w:tr>
      <w:tr>
        <w:tc>
          <w:tcPr>
            <w:tcW w:type="dxa" w:w="1296"/>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02</w:t>
            </w:r>
          </w:p>
        </w:tc>
        <w:tc>
          <w:tcPr>
            <w:tcW w:type="dxa" w:w="8496"/>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Coding style rules and naming conventions</w:t>
            </w:r>
          </w:p>
        </w:tc>
      </w:tr>
      <w:tr>
        <w:tc>
          <w:tcPr>
            <w:tcW w:type="dxa" w:w="129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03</w:t>
            </w:r>
          </w:p>
        </w:tc>
        <w:tc>
          <w:tcPr>
            <w:tcW w:type="dxa" w:w="849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Formatting and project file organization</w:t>
            </w:r>
          </w:p>
        </w:tc>
      </w:tr>
      <w:tr>
        <w:tc>
          <w:tcPr>
            <w:tcW w:type="dxa" w:w="1296"/>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04</w:t>
            </w:r>
          </w:p>
        </w:tc>
        <w:tc>
          <w:tcPr>
            <w:tcW w:type="dxa" w:w="8496"/>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Inline comments and API documentation</w:t>
            </w:r>
          </w:p>
        </w:tc>
      </w:tr>
      <w:tr>
        <w:tc>
          <w:tcPr>
            <w:tcW w:type="dxa" w:w="129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05</w:t>
            </w:r>
          </w:p>
        </w:tc>
        <w:tc>
          <w:tcPr>
            <w:tcW w:type="dxa" w:w="849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Applying the guidelines to the proposed system</w:t>
            </w:r>
          </w:p>
        </w:tc>
      </w:tr>
      <w:tr>
        <w:tc>
          <w:tcPr>
            <w:tcW w:type="dxa" w:w="1296"/>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06</w:t>
            </w:r>
          </w:p>
        </w:tc>
        <w:tc>
          <w:tcPr>
            <w:tcW w:type="dxa" w:w="8496"/>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Tools and suggested workflow</w:t>
            </w:r>
          </w:p>
        </w:tc>
      </w:tr>
      <w:tr>
        <w:tc>
          <w:tcPr>
            <w:tcW w:type="dxa" w:w="129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07</w:t>
            </w:r>
          </w:p>
        </w:tc>
        <w:tc>
          <w:tcPr>
            <w:tcW w:type="dxa" w:w="849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Team collaboration, review checklist, and conclusion</w:t>
            </w:r>
          </w:p>
        </w:tc>
      </w:tr>
    </w:tbl>
    <w:p>
      <w:pPr>
        <w:spacing w:after="20"/>
      </w:pPr>
    </w:p>
    <w:p>
      <w:pPr>
        <w:pStyle w:val="Heading1"/>
      </w:pPr>
      <w:r>
        <w:t>1. Introduction</w:t>
      </w:r>
    </w:p>
    <w:p>
      <w:r>
        <w:t>In the earlier weeks, I focused on understanding the problem the project is meant to solve, describing the main users and features, and planning the system structure and implementation roadmap. This week is a natural next step: before the codebase becomes larger, it is useful to agree on how code should be written and explained.</w:t>
      </w:r>
    </w:p>
    <w:p>
      <w:r>
        <w:t>The Internship and Job Opportunity Management System is planned as a central place where students can find opportunities, apply for suitable roles, and check application progress. Recruiters would manage listings and review applications, while an administrator would help keep the platform organised. Because these features will be split into modules such as authentication, opportunity management, application tracking, and administration, consistent naming and documentation should make each part easier to understand.</w:t>
      </w:r>
    </w:p>
    <w:p>
      <w:pPr>
        <w:pStyle w:val="Heading2"/>
      </w:pPr>
      <w:r>
        <w:t>Objectives of this report</w:t>
      </w:r>
    </w:p>
    <w:p>
      <w:pPr>
        <w:pStyle w:val="ListBullet"/>
        <w:spacing w:after="60"/>
      </w:pPr>
      <w:r>
        <w:t>Set out clear naming and formatting rules that a student team can follow.</w:t>
      </w:r>
    </w:p>
    <w:p>
      <w:pPr>
        <w:pStyle w:val="ListBullet"/>
        <w:spacing w:after="60"/>
      </w:pPr>
      <w:r>
        <w:t>Show how comments can explain business rules without repeating obvious code.</w:t>
      </w:r>
    </w:p>
    <w:p>
      <w:pPr>
        <w:pStyle w:val="ListBullet"/>
        <w:spacing w:after="60"/>
      </w:pPr>
      <w:r>
        <w:t>Recommend tools that can help with formatting and documentation.</w:t>
      </w:r>
    </w:p>
    <w:p>
      <w:pPr>
        <w:pStyle w:val="ListBullet"/>
        <w:spacing w:after="60"/>
      </w:pPr>
      <w:r>
        <w:t>Suggest a simple review process for keeping code consistent as the project grows.</w:t>
      </w:r>
    </w:p>
    <w:tbl>
      <w:tblPr>
        <w:tblW w:type="auto" w:w="0"/>
        <w:tblLook w:firstColumn="1" w:firstRow="1" w:lastColumn="0" w:lastRow="0" w:noHBand="0" w:noVBand="1" w:val="04A0"/>
      </w:tblPr>
      <w:tblGrid>
        <w:gridCol w:w="9994"/>
      </w:tblGrid>
      <w:tr>
        <w:tc>
          <w:tcPr>
            <w:tcW w:type="dxa" w:w="9994"/>
            <w:shd w:fill="FFF0F5"/>
            <w:tcMar>
              <w:top w:w="140" w:type="dxa"/>
              <w:start w:w="180" w:type="dxa"/>
              <w:bottom w:w="140" w:type="dxa"/>
              <w:end w:w="180" w:type="dxa"/>
            </w:tcMar>
            <w:tcBorders>
              <w:top w:val="single" w:sz="3" w:color="F5C9D8"/>
              <w:left w:val="single" w:sz="16" w:color="E9367A"/>
              <w:bottom w:val="single" w:sz="3" w:color="F5C9D8"/>
              <w:right w:val="single" w:sz="3" w:color="F5C9D8"/>
            </w:tcBorders>
          </w:tcPr>
          <w:p>
            <w:pPr>
              <w:spacing w:after="0"/>
            </w:pPr>
            <w:r>
              <w:rPr>
                <w:b/>
                <w:color w:val="2937A4"/>
                <w:sz w:val="19"/>
              </w:rPr>
              <w:t>My main principle is simple: code should be understandable to the next person who has to work on it. Good documentation explains the intent behind a decision, not just what a line of code already says.</w:t>
            </w:r>
          </w:p>
        </w:tc>
      </w:tr>
    </w:tbl>
    <w:p>
      <w:pPr>
        <w:spacing w:after="20"/>
      </w:pPr>
    </w:p>
    <w:p>
      <w:pPr>
        <w:pStyle w:val="Heading1"/>
      </w:pPr>
      <w:r>
        <w:t>2. Coding Style Rules and Naming Conventions</w:t>
      </w:r>
    </w:p>
    <w:p>
      <w:r>
        <w:t>Coding style is the set of conventions used to make code look and read consistently. Different languages have their own conventions, but a team should choose a clear approach and use it throughout the project. The following rules are a practical starting point for Java and the planned web technologies.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Area</w:t>
            </w:r>
          </w:p>
        </w:tc>
        <w:tc>
          <w:tcPr>
            <w:tcW w:type="dxa" w:w="5112"/>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Proposed rule</w:t>
            </w:r>
          </w:p>
        </w:tc>
        <w:tc>
          <w:tcPr>
            <w:tcW w:type="dxa" w:w="2880"/>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Example</w:t>
            </w:r>
          </w:p>
        </w:tc>
      </w:tr>
      <w:tr>
        <w:tc>
          <w:tcPr>
            <w:tcW w:type="dxa" w:w="180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Java classes</w:t>
            </w:r>
          </w:p>
        </w:tc>
        <w:tc>
          <w:tcPr>
            <w:tcW w:type="dxa" w:w="5112"/>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Use PascalCase and a name that describes the class's responsibility.</w:t>
            </w:r>
          </w:p>
        </w:tc>
        <w:tc>
          <w:tcPr>
            <w:tcW w:type="dxa" w:w="288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ApplicationService</w:t>
            </w:r>
          </w:p>
        </w:tc>
      </w:tr>
      <w:tr>
        <w:tc>
          <w:tcPr>
            <w:tcW w:type="dxa" w:w="1800"/>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Methods</w:t>
            </w:r>
          </w:p>
        </w:tc>
        <w:tc>
          <w:tcPr>
            <w:tcW w:type="dxa" w:w="5112"/>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Use lower camelCase and a clear action name.</w:t>
            </w:r>
          </w:p>
        </w:tc>
        <w:tc>
          <w:tcPr>
            <w:tcW w:type="dxa" w:w="2880"/>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findEligibleOpportunities()</w:t>
            </w:r>
          </w:p>
        </w:tc>
      </w:tr>
      <w:tr>
        <w:tc>
          <w:tcPr>
            <w:tcW w:type="dxa" w:w="180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Variables and fields</w:t>
            </w:r>
          </w:p>
        </w:tc>
        <w:tc>
          <w:tcPr>
            <w:tcW w:type="dxa" w:w="5112"/>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Use lower camelCase; avoid unclear abbreviations.</w:t>
            </w:r>
          </w:p>
        </w:tc>
        <w:tc>
          <w:tcPr>
            <w:tcW w:type="dxa" w:w="288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applicationStatus</w:t>
            </w:r>
          </w:p>
        </w:tc>
      </w:tr>
      <w:tr>
        <w:tc>
          <w:tcPr>
            <w:tcW w:type="dxa" w:w="1800"/>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Constants</w:t>
            </w:r>
          </w:p>
        </w:tc>
        <w:tc>
          <w:tcPr>
            <w:tcW w:type="dxa" w:w="5112"/>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Use uppercase words separated by underscores.</w:t>
            </w:r>
          </w:p>
        </w:tc>
        <w:tc>
          <w:tcPr>
            <w:tcW w:type="dxa" w:w="2880"/>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MAX_LOGIN_ATTEMPTS</w:t>
            </w:r>
          </w:p>
        </w:tc>
      </w:tr>
      <w:tr>
        <w:tc>
          <w:tcPr>
            <w:tcW w:type="dxa" w:w="180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Boolean values</w:t>
            </w:r>
          </w:p>
        </w:tc>
        <w:tc>
          <w:tcPr>
            <w:tcW w:type="dxa" w:w="5112"/>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Choose names that read naturally as true/false checks.</w:t>
            </w:r>
          </w:p>
        </w:tc>
        <w:tc>
          <w:tcPr>
            <w:tcW w:type="dxa" w:w="288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isEligible, hasApplied</w:t>
            </w:r>
          </w:p>
        </w:tc>
      </w:tr>
      <w:tr>
        <w:tc>
          <w:tcPr>
            <w:tcW w:type="dxa" w:w="1800"/>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HTML/CSS</w:t>
            </w:r>
          </w:p>
        </w:tc>
        <w:tc>
          <w:tcPr>
            <w:tcW w:type="dxa" w:w="5112"/>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Use meaningful names; use kebab-case for CSS classes.</w:t>
            </w:r>
          </w:p>
        </w:tc>
        <w:tc>
          <w:tcPr>
            <w:tcW w:type="dxa" w:w="2880"/>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opportunity-card</w:t>
            </w:r>
          </w:p>
        </w:tc>
      </w:tr>
      <w:tr>
        <w:tc>
          <w:tcPr>
            <w:tcW w:type="dxa" w:w="180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Database columns</w:t>
            </w:r>
          </w:p>
        </w:tc>
        <w:tc>
          <w:tcPr>
            <w:tcW w:type="dxa" w:w="5112"/>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Follow one naming convention consistently.</w:t>
            </w:r>
          </w:p>
        </w:tc>
        <w:tc>
          <w:tcPr>
            <w:tcW w:type="dxa" w:w="288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application_status</w:t>
            </w:r>
          </w:p>
        </w:tc>
      </w:tr>
      <w:tr>
        <w:tc>
          <w:tcPr>
            <w:tcW w:type="dxa" w:w="1800"/>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Files and classes</w:t>
            </w:r>
          </w:p>
        </w:tc>
        <w:tc>
          <w:tcPr>
            <w:tcW w:type="dxa" w:w="5112"/>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Keep a public Java class name aligned with its filename.</w:t>
            </w:r>
          </w:p>
        </w:tc>
        <w:tc>
          <w:tcPr>
            <w:tcW w:type="dxa" w:w="2880"/>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ApplicationService.java</w:t>
            </w:r>
          </w:p>
        </w:tc>
      </w:tr>
    </w:tbl>
    <w:p>
      <w:pPr>
        <w:spacing w:after="20"/>
      </w:pPr>
    </w:p>
    <w:p>
      <w:pPr>
        <w:pStyle w:val="Heading2"/>
      </w:pPr>
      <w:r>
        <w:t>2.1 Clear names are easier to maintain</w:t>
      </w:r>
    </w:p>
    <w:tbl>
      <w:tblPr>
        <w:tblW w:type="auto" w:w="0"/>
        <w:jc w:val="center"/>
        <w:tblLook w:firstColumn="1" w:firstRow="1" w:lastColumn="0" w:lastRow="0" w:noHBand="0" w:noVBand="1" w:val="04A0"/>
      </w:tblPr>
      <w:tblGrid>
        <w:gridCol w:w="9994"/>
      </w:tblGrid>
      <w:tr>
        <w:tc>
          <w:tcPr>
            <w:tcW w:type="dxa" w:w="9994"/>
            <w:shd w:fill="F4F5FB"/>
            <w:tcMar>
              <w:top w:w="130" w:type="dxa"/>
              <w:start w:w="150" w:type="dxa"/>
              <w:bottom w:w="130" w:type="dxa"/>
              <w:end w:w="150" w:type="dxa"/>
            </w:tcMar>
            <w:tcBorders>
              <w:top w:val="single" w:sz="5" w:color="DDE0EA"/>
              <w:left w:val="single" w:sz="12" w:color="E9367A"/>
              <w:bottom w:val="single" w:sz="5" w:color="DDE0EA"/>
              <w:right w:val="single" w:sz="5" w:color="DDE0EA"/>
            </w:tcBorders>
          </w:tcPr>
          <w:p>
            <w:pPr>
              <w:pStyle w:val="CodeBlock"/>
            </w:pPr>
            <w:r/>
            <w:r>
              <w:t>// Less clear</w:t>
            </w:r>
          </w:p>
          <w:p>
            <w:pPr>
              <w:pStyle w:val="CodeBlock"/>
            </w:pPr>
            <w:r>
              <w:t>int x = 30;</w:t>
            </w:r>
          </w:p>
          <w:p>
            <w:pPr>
              <w:pStyle w:val="CodeBlock"/>
            </w:pPr>
            <w:r>
              <w:t>String s = "Applied";</w:t>
            </w:r>
          </w:p>
          <w:p>
            <w:pPr>
              <w:pStyle w:val="CodeBlock"/>
            </w:pPr>
            <w:r/>
          </w:p>
          <w:p>
            <w:pPr>
              <w:pStyle w:val="CodeBlock"/>
            </w:pPr>
            <w:r>
              <w:t>// Clearer</w:t>
            </w:r>
          </w:p>
          <w:p>
            <w:pPr>
              <w:pStyle w:val="CodeBlock"/>
            </w:pPr>
            <w:r>
              <w:t>int minimumEligibilityMarks = 30;</w:t>
            </w:r>
          </w:p>
          <w:p>
            <w:pPr>
              <w:pStyle w:val="CodeBlock"/>
            </w:pPr>
            <w:r>
              <w:t>String applicationStatus = "Applied";</w:t>
            </w:r>
          </w:p>
        </w:tc>
      </w:tr>
    </w:tbl>
    <w:p>
      <w:pPr>
        <w:spacing w:after="20"/>
      </w:pPr>
    </w:p>
    <w:p>
      <w:r>
        <w:t>The second version is a little longer, but its meaning is easier to understand without searching through the rest of the project. Names should describe the purpose of a value, not just its type.</w:t>
      </w:r>
    </w:p>
    <w:p>
      <w:pPr>
        <w:pStyle w:val="Heading2"/>
      </w:pPr>
      <w:r>
        <w:t>2.2 Keep methods focused</w:t>
      </w:r>
    </w:p>
    <w:p>
      <w:r>
        <w:t>A method should ideally handle one clear task. For example, checking whether an opportunity is open should be separate from sending a notification. Smaller methods are easier to test, review, and explain. If a method is becoming difficult to describe in one or two sentences, it may be doing too much.</w:t>
      </w:r>
    </w:p>
    <w:p>
      <w:pPr>
        <w:pStyle w:val="Heading2"/>
      </w:pPr>
      <w:r>
        <w:t>2.3 Be consistent across the project</w:t>
      </w:r>
    </w:p>
    <w:p>
      <w:r>
        <w:t>The team should avoid using several different names for the same action. For example, getApplicationStatus(), application_status(), and statusOfApplication() should not be mixed without a reason. Once a convention is selected, new code and code reviews should follow it.</w:t>
      </w:r>
    </w:p>
    <w:p>
      <w:pPr>
        <w:pStyle w:val="Heading1"/>
      </w:pPr>
      <w:r>
        <w:t>3. Formatting and Project File Organization</w:t>
      </w:r>
    </w:p>
    <w:p>
      <w:r>
        <w:t>Formatting does not change what a program is intended to do, but it affects how easily people can read it. Consistent indentation, spacing, and file organisation reduce visual clutter and make mistakes easier to notice.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Rule</w:t>
            </w:r>
          </w:p>
        </w:tc>
        <w:tc>
          <w:tcPr>
            <w:tcW w:type="dxa" w:w="4608"/>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Recommended guideline</w:t>
            </w:r>
          </w:p>
        </w:tc>
        <w:tc>
          <w:tcPr>
            <w:tcW w:type="dxa" w:w="3528"/>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Why it helps</w:t>
            </w:r>
          </w:p>
        </w:tc>
      </w:tr>
      <w:tr>
        <w:tc>
          <w:tcPr>
            <w:tcW w:type="dxa" w:w="165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Indentation</w:t>
            </w:r>
          </w:p>
        </w:tc>
        <w:tc>
          <w:tcPr>
            <w:tcW w:type="dxa" w:w="4608"/>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Use four spaces in Java and avoid mixing tabs and spaces.</w:t>
            </w:r>
          </w:p>
        </w:tc>
        <w:tc>
          <w:tcPr>
            <w:tcW w:type="dxa" w:w="3528"/>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Makes code blocks easy to identify.</w:t>
            </w:r>
          </w:p>
        </w:tc>
      </w:tr>
      <w:tr>
        <w:tc>
          <w:tcPr>
            <w:tcW w:type="dxa" w:w="1656"/>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Braces</w:t>
            </w:r>
          </w:p>
        </w:tc>
        <w:tc>
          <w:tcPr>
            <w:tcW w:type="dxa" w:w="4608"/>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Use one consistent brace style for methods and control blocks.</w:t>
            </w:r>
          </w:p>
        </w:tc>
        <w:tc>
          <w:tcPr>
            <w:tcW w:type="dxa" w:w="3528"/>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Creates a predictable layout.</w:t>
            </w:r>
          </w:p>
        </w:tc>
      </w:tr>
      <w:tr>
        <w:tc>
          <w:tcPr>
            <w:tcW w:type="dxa" w:w="165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Blank lines</w:t>
            </w:r>
          </w:p>
        </w:tc>
        <w:tc>
          <w:tcPr>
            <w:tcW w:type="dxa" w:w="4608"/>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Separate logical sections without adding excessive gaps.</w:t>
            </w:r>
          </w:p>
        </w:tc>
        <w:tc>
          <w:tcPr>
            <w:tcW w:type="dxa" w:w="3528"/>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Makes code easier to scan.</w:t>
            </w:r>
          </w:p>
        </w:tc>
      </w:tr>
      <w:tr>
        <w:tc>
          <w:tcPr>
            <w:tcW w:type="dxa" w:w="1656"/>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Line length</w:t>
            </w:r>
          </w:p>
        </w:tc>
        <w:tc>
          <w:tcPr>
            <w:tcW w:type="dxa" w:w="4608"/>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Aim for around 100–120 characters where practical.</w:t>
            </w:r>
          </w:p>
        </w:tc>
        <w:tc>
          <w:tcPr>
            <w:tcW w:type="dxa" w:w="3528"/>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Reduces horizontal scrolling.</w:t>
            </w:r>
          </w:p>
        </w:tc>
      </w:tr>
      <w:tr>
        <w:tc>
          <w:tcPr>
            <w:tcW w:type="dxa" w:w="165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Imports</w:t>
            </w:r>
          </w:p>
        </w:tc>
        <w:tc>
          <w:tcPr>
            <w:tcW w:type="dxa" w:w="4608"/>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Remove unused imports and group them consistently.</w:t>
            </w:r>
          </w:p>
        </w:tc>
        <w:tc>
          <w:tcPr>
            <w:tcW w:type="dxa" w:w="3528"/>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Keeps file headers tidy.</w:t>
            </w:r>
          </w:p>
        </w:tc>
      </w:tr>
      <w:tr>
        <w:tc>
          <w:tcPr>
            <w:tcW w:type="dxa" w:w="1656"/>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Error handling</w:t>
            </w:r>
          </w:p>
        </w:tc>
        <w:tc>
          <w:tcPr>
            <w:tcW w:type="dxa" w:w="4608"/>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Handle expected failures deliberately and show clear messages.</w:t>
            </w:r>
          </w:p>
        </w:tc>
        <w:tc>
          <w:tcPr>
            <w:tcW w:type="dxa" w:w="3528"/>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Helps debugging and user feedback.</w:t>
            </w:r>
          </w:p>
        </w:tc>
      </w:tr>
      <w:tr>
        <w:tc>
          <w:tcPr>
            <w:tcW w:type="dxa" w:w="165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Magic values</w:t>
            </w:r>
          </w:p>
        </w:tc>
        <w:tc>
          <w:tcPr>
            <w:tcW w:type="dxa" w:w="4608"/>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Use named constants for important business values.</w:t>
            </w:r>
          </w:p>
        </w:tc>
        <w:tc>
          <w:tcPr>
            <w:tcW w:type="dxa" w:w="3528"/>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Makes rules easier to update.</w:t>
            </w:r>
          </w:p>
        </w:tc>
      </w:tr>
    </w:tbl>
    <w:p>
      <w:pPr>
        <w:spacing w:after="20"/>
      </w:pPr>
    </w:p>
    <w:p>
      <w:pPr>
        <w:pStyle w:val="Heading2"/>
      </w:pPr>
      <w:r>
        <w:t>3.1 Example: formatting improves readability</w:t>
      </w:r>
    </w:p>
    <w:tbl>
      <w:tblPr>
        <w:tblW w:type="auto" w:w="0"/>
        <w:jc w:val="center"/>
        <w:tblLook w:firstColumn="1" w:firstRow="1" w:lastColumn="0" w:lastRow="0" w:noHBand="0" w:noVBand="1" w:val="04A0"/>
      </w:tblPr>
      <w:tblGrid>
        <w:gridCol w:w="9994"/>
      </w:tblGrid>
      <w:tr>
        <w:tc>
          <w:tcPr>
            <w:tcW w:type="dxa" w:w="9994"/>
            <w:shd w:fill="F4F5FB"/>
            <w:tcMar>
              <w:top w:w="130" w:type="dxa"/>
              <w:start w:w="150" w:type="dxa"/>
              <w:bottom w:w="130" w:type="dxa"/>
              <w:end w:w="150" w:type="dxa"/>
            </w:tcMar>
            <w:tcBorders>
              <w:top w:val="single" w:sz="5" w:color="DDE0EA"/>
              <w:left w:val="single" w:sz="12" w:color="E9367A"/>
              <w:bottom w:val="single" w:sz="5" w:color="DDE0EA"/>
              <w:right w:val="single" w:sz="5" w:color="DDE0EA"/>
            </w:tcBorders>
          </w:tcPr>
          <w:p>
            <w:pPr>
              <w:pStyle w:val="CodeBlock"/>
            </w:pPr>
            <w:r/>
            <w:r>
              <w:t>// Harder to scan</w:t>
            </w:r>
          </w:p>
          <w:p>
            <w:pPr>
              <w:pStyle w:val="CodeBlock"/>
            </w:pPr>
            <w:r>
              <w:t>if(isLoggedIn&amp;&amp;isActive&amp;&amp; !hasApplied){submitApplication();}</w:t>
            </w:r>
          </w:p>
          <w:p>
            <w:pPr>
              <w:pStyle w:val="CodeBlock"/>
            </w:pPr>
            <w:r/>
          </w:p>
          <w:p>
            <w:pPr>
              <w:pStyle w:val="CodeBlock"/>
            </w:pPr>
            <w:r>
              <w:t>// More readable</w:t>
            </w:r>
          </w:p>
          <w:p>
            <w:pPr>
              <w:pStyle w:val="CodeBlock"/>
            </w:pPr>
            <w:r>
              <w:t>if (isLoggedIn &amp;&amp; isActive &amp;&amp; !hasApplied) {</w:t>
            </w:r>
          </w:p>
          <w:p>
            <w:pPr>
              <w:pStyle w:val="CodeBlock"/>
            </w:pPr>
            <w:r>
              <w:t xml:space="preserve">    submitApplication();</w:t>
            </w:r>
          </w:p>
          <w:p>
            <w:pPr>
              <w:pStyle w:val="CodeBlock"/>
            </w:pPr>
            <w:r>
              <w:t>}</w:t>
            </w:r>
          </w:p>
        </w:tc>
      </w:tr>
    </w:tbl>
    <w:p>
      <w:pPr>
        <w:spacing w:after="20"/>
      </w:pPr>
    </w:p>
    <w:p>
      <w:r>
        <w:t>The improved version adds spaces around operators and places the action on a separate line. If a condition becomes more complicated, it may be clearer to give it a descriptive name or move it into a separate method.</w:t>
      </w:r>
    </w:p>
    <w:p>
      <w:pPr>
        <w:pStyle w:val="Heading2"/>
      </w:pPr>
      <w:r>
        <w:t>3.2 Proposed high-level folder structure</w:t>
      </w:r>
    </w:p>
    <w:tbl>
      <w:tblPr>
        <w:tblW w:type="auto" w:w="0"/>
        <w:jc w:val="center"/>
        <w:tblLook w:firstColumn="1" w:firstRow="1" w:lastColumn="0" w:lastRow="0" w:noHBand="0" w:noVBand="1" w:val="04A0"/>
      </w:tblPr>
      <w:tblGrid>
        <w:gridCol w:w="9994"/>
      </w:tblGrid>
      <w:tr>
        <w:tc>
          <w:tcPr>
            <w:tcW w:type="dxa" w:w="9994"/>
            <w:shd w:fill="F4F5FB"/>
            <w:tcMar>
              <w:top w:w="130" w:type="dxa"/>
              <w:start w:w="150" w:type="dxa"/>
              <w:bottom w:w="130" w:type="dxa"/>
              <w:end w:w="150" w:type="dxa"/>
            </w:tcMar>
            <w:tcBorders>
              <w:top w:val="single" w:sz="5" w:color="DDE0EA"/>
              <w:left w:val="single" w:sz="12" w:color="E9367A"/>
              <w:bottom w:val="single" w:sz="5" w:color="DDE0EA"/>
              <w:right w:val="single" w:sz="5" w:color="DDE0EA"/>
            </w:tcBorders>
          </w:tcPr>
          <w:p>
            <w:pPr>
              <w:pStyle w:val="CodeBlock"/>
            </w:pPr>
            <w:r/>
            <w:r>
              <w:t>internship-job-management/</w:t>
            </w:r>
          </w:p>
          <w:p>
            <w:pPr>
              <w:pStyle w:val="CodeBlock"/>
            </w:pPr>
            <w:r>
              <w:t xml:space="preserve">  frontend/</w:t>
            </w:r>
          </w:p>
          <w:p>
            <w:pPr>
              <w:pStyle w:val="CodeBlock"/>
            </w:pPr>
            <w:r>
              <w:t xml:space="preserve">    pages/</w:t>
            </w:r>
          </w:p>
          <w:p>
            <w:pPr>
              <w:pStyle w:val="CodeBlock"/>
            </w:pPr>
            <w:r>
              <w:t xml:space="preserve">    styles/</w:t>
            </w:r>
          </w:p>
          <w:p>
            <w:pPr>
              <w:pStyle w:val="CodeBlock"/>
            </w:pPr>
            <w:r>
              <w:t xml:space="preserve">    scripts/</w:t>
            </w:r>
          </w:p>
          <w:p>
            <w:pPr>
              <w:pStyle w:val="CodeBlock"/>
            </w:pPr>
            <w:r>
              <w:t xml:space="preserve">  backend/</w:t>
            </w:r>
          </w:p>
          <w:p>
            <w:pPr>
              <w:pStyle w:val="CodeBlock"/>
            </w:pPr>
            <w:r>
              <w:t xml:space="preserve">    src/main/java/.../</w:t>
            </w:r>
          </w:p>
          <w:p>
            <w:pPr>
              <w:pStyle w:val="CodeBlock"/>
            </w:pPr>
            <w:r>
              <w:t xml:space="preserve">      auth/</w:t>
            </w:r>
          </w:p>
          <w:p>
            <w:pPr>
              <w:pStyle w:val="CodeBlock"/>
            </w:pPr>
            <w:r>
              <w:t xml:space="preserve">      student/</w:t>
            </w:r>
          </w:p>
          <w:p>
            <w:pPr>
              <w:pStyle w:val="CodeBlock"/>
            </w:pPr>
            <w:r>
              <w:t xml:space="preserve">      opportunity/</w:t>
            </w:r>
          </w:p>
          <w:p>
            <w:pPr>
              <w:pStyle w:val="CodeBlock"/>
            </w:pPr>
            <w:r>
              <w:t xml:space="preserve">      application/</w:t>
            </w:r>
          </w:p>
          <w:p>
            <w:pPr>
              <w:pStyle w:val="CodeBlock"/>
            </w:pPr>
            <w:r>
              <w:t xml:space="preserve">      notification/</w:t>
            </w:r>
          </w:p>
          <w:p>
            <w:pPr>
              <w:pStyle w:val="CodeBlock"/>
            </w:pPr>
            <w:r>
              <w:t xml:space="preserve">      admin/</w:t>
            </w:r>
          </w:p>
          <w:p>
            <w:pPr>
              <w:pStyle w:val="CodeBlock"/>
            </w:pPr>
            <w:r>
              <w:t xml:space="preserve">    src/main/resources/</w:t>
            </w:r>
          </w:p>
          <w:p>
            <w:pPr>
              <w:pStyle w:val="CodeBlock"/>
            </w:pPr>
            <w:r>
              <w:t xml:space="preserve">  database/</w:t>
            </w:r>
          </w:p>
          <w:p>
            <w:pPr>
              <w:pStyle w:val="CodeBlock"/>
            </w:pPr>
            <w:r>
              <w:t xml:space="preserve">    schema/</w:t>
            </w:r>
          </w:p>
          <w:p>
            <w:pPr>
              <w:pStyle w:val="CodeBlock"/>
            </w:pPr>
            <w:r>
              <w:t xml:space="preserve">    sample-data/</w:t>
            </w:r>
          </w:p>
          <w:p>
            <w:pPr>
              <w:pStyle w:val="CodeBlock"/>
            </w:pPr>
            <w:r>
              <w:t xml:space="preserve">  docs/</w:t>
            </w:r>
          </w:p>
          <w:p>
            <w:pPr>
              <w:pStyle w:val="CodeBlock"/>
            </w:pPr>
            <w:r>
              <w:t xml:space="preserve">    requirements/</w:t>
            </w:r>
          </w:p>
          <w:p>
            <w:pPr>
              <w:pStyle w:val="CodeBlock"/>
            </w:pPr>
            <w:r>
              <w:t xml:space="preserve">    design/</w:t>
            </w:r>
          </w:p>
          <w:p>
            <w:pPr>
              <w:pStyle w:val="CodeBlock"/>
            </w:pPr>
            <w:r>
              <w:t xml:space="preserve">    coding-guidelines/</w:t>
            </w:r>
          </w:p>
          <w:p>
            <w:pPr>
              <w:pStyle w:val="CodeBlock"/>
            </w:pPr>
            <w:r>
              <w:t xml:space="preserve">  README.md</w:t>
            </w:r>
          </w:p>
        </w:tc>
      </w:tr>
    </w:tbl>
    <w:p>
      <w:pPr>
        <w:spacing w:after="20"/>
      </w:pPr>
    </w:p>
    <w:p>
      <w:r>
        <w:t>This is a proposed structure, not a verified snapshot of an existing repository. It gives each area a clear place: interface files, backend modules, database resources, and project documentation.</w:t>
      </w:r>
    </w:p>
    <w:p>
      <w:pPr>
        <w:pStyle w:val="Heading1"/>
      </w:pPr>
      <w:r>
        <w:t>4. Inline Comments and API Documentation</w:t>
      </w:r>
    </w:p>
    <w:p>
      <w:r>
        <w:t>Comments are most helpful when they explain why a decision was made, what a business rule means, or which assumptions a method depends on. A comment that simply repeats the next line adds little value. Comments should also be checked whenever the code changes, so they do not become misleading.</w:t>
      </w:r>
    </w:p>
    <w:p>
      <w:pPr>
        <w:pStyle w:val="Heading2"/>
      </w:pPr>
      <w:r>
        <w:t>4.1 Practical commenting rules</w:t>
      </w:r>
    </w:p>
    <w:p>
      <w:pPr>
        <w:pStyle w:val="ListBullet"/>
        <w:spacing w:after="60"/>
      </w:pPr>
      <w:r>
        <w:t>Explain non-obvious business rules, edge cases, and important constraints.</w:t>
      </w:r>
    </w:p>
    <w:p>
      <w:pPr>
        <w:pStyle w:val="ListBullet"/>
        <w:spacing w:after="60"/>
      </w:pPr>
      <w:r>
        <w:t>Use short, direct sentences and check spelling.</w:t>
      </w:r>
    </w:p>
    <w:p>
      <w:pPr>
        <w:pStyle w:val="ListBullet"/>
        <w:spacing w:after="60"/>
      </w:pPr>
      <w:r>
        <w:t>Explain why a validation exists when its purpose is not obvious.</w:t>
      </w:r>
    </w:p>
    <w:p>
      <w:pPr>
        <w:pStyle w:val="ListBullet"/>
        <w:spacing w:after="60"/>
      </w:pPr>
      <w:r>
        <w:t>Do not add comments to every straightforward line of code.</w:t>
      </w:r>
    </w:p>
    <w:p>
      <w:pPr>
        <w:pStyle w:val="ListBullet"/>
        <w:spacing w:after="60"/>
      </w:pPr>
      <w:r>
        <w:t>Update or remove comments when the related logic changes.</w:t>
      </w:r>
    </w:p>
    <w:p>
      <w:pPr>
        <w:pStyle w:val="ListBullet"/>
        <w:spacing w:after="60"/>
      </w:pPr>
      <w:r>
        <w:t>Never put passwords, access tokens, or private user data in comments.</w:t>
      </w:r>
    </w:p>
    <w:p>
      <w:pPr>
        <w:pStyle w:val="Heading2"/>
      </w:pPr>
      <w:r>
        <w:t>4.2 Example: documenting a business rule</w:t>
      </w:r>
    </w:p>
    <w:tbl>
      <w:tblPr>
        <w:tblW w:type="auto" w:w="0"/>
        <w:jc w:val="center"/>
        <w:tblLook w:firstColumn="1" w:firstRow="1" w:lastColumn="0" w:lastRow="0" w:noHBand="0" w:noVBand="1" w:val="04A0"/>
      </w:tblPr>
      <w:tblGrid>
        <w:gridCol w:w="9994"/>
      </w:tblGrid>
      <w:tr>
        <w:tc>
          <w:tcPr>
            <w:tcW w:type="dxa" w:w="9994"/>
            <w:shd w:fill="F4F5FB"/>
            <w:tcMar>
              <w:top w:w="130" w:type="dxa"/>
              <w:start w:w="150" w:type="dxa"/>
              <w:bottom w:w="130" w:type="dxa"/>
              <w:end w:w="150" w:type="dxa"/>
            </w:tcMar>
            <w:tcBorders>
              <w:top w:val="single" w:sz="5" w:color="DDE0EA"/>
              <w:left w:val="single" w:sz="12" w:color="E9367A"/>
              <w:bottom w:val="single" w:sz="5" w:color="DDE0EA"/>
              <w:right w:val="single" w:sz="5" w:color="DDE0EA"/>
            </w:tcBorders>
          </w:tcPr>
          <w:p>
            <w:pPr>
              <w:pStyle w:val="CodeBlock"/>
            </w:pPr>
            <w:r/>
            <w:r>
              <w:t>// Prevent a second application for the same student and opportunity.</w:t>
            </w:r>
          </w:p>
          <w:p>
            <w:pPr>
              <w:pStyle w:val="CodeBlock"/>
            </w:pPr>
            <w:r>
              <w:t>if (applicationRepository.existsByStudentIdAndOpportunityId(</w:t>
            </w:r>
          </w:p>
          <w:p>
            <w:pPr>
              <w:pStyle w:val="CodeBlock"/>
            </w:pPr>
            <w:r>
              <w:t xml:space="preserve">        studentId, opportunityId)) {</w:t>
            </w:r>
          </w:p>
          <w:p>
            <w:pPr>
              <w:pStyle w:val="CodeBlock"/>
            </w:pPr>
            <w:r>
              <w:t xml:space="preserve">    throw new DuplicateApplicationException();</w:t>
            </w:r>
          </w:p>
          <w:p>
            <w:pPr>
              <w:pStyle w:val="CodeBlock"/>
            </w:pPr>
            <w:r>
              <w:t>}</w:t>
            </w:r>
          </w:p>
        </w:tc>
      </w:tr>
    </w:tbl>
    <w:p>
      <w:pPr>
        <w:spacing w:after="20"/>
      </w:pPr>
    </w:p>
    <w:p>
      <w:r>
        <w:t>The comment explains the reason for the check rather than repeating the method name. The repository method and exception are illustrative examples for a possible Java/Spring Boot backend; they are not presented as code already implemented in the project.</w:t>
      </w:r>
    </w:p>
    <w:p>
      <w:pPr>
        <w:pStyle w:val="Heading2"/>
      </w:pPr>
      <w:r>
        <w:t>4.3 JavaDoc for public methods</w:t>
      </w:r>
    </w:p>
    <w:tbl>
      <w:tblPr>
        <w:tblW w:type="auto" w:w="0"/>
        <w:jc w:val="center"/>
        <w:tblLook w:firstColumn="1" w:firstRow="1" w:lastColumn="0" w:lastRow="0" w:noHBand="0" w:noVBand="1" w:val="04A0"/>
      </w:tblPr>
      <w:tblGrid>
        <w:gridCol w:w="9994"/>
      </w:tblGrid>
      <w:tr>
        <w:tc>
          <w:tcPr>
            <w:tcW w:type="dxa" w:w="9994"/>
            <w:shd w:fill="F4F5FB"/>
            <w:tcMar>
              <w:top w:w="130" w:type="dxa"/>
              <w:start w:w="150" w:type="dxa"/>
              <w:bottom w:w="130" w:type="dxa"/>
              <w:end w:w="150" w:type="dxa"/>
            </w:tcMar>
            <w:tcBorders>
              <w:top w:val="single" w:sz="5" w:color="DDE0EA"/>
              <w:left w:val="single" w:sz="12" w:color="E9367A"/>
              <w:bottom w:val="single" w:sz="5" w:color="DDE0EA"/>
              <w:right w:val="single" w:sz="5" w:color="DDE0EA"/>
            </w:tcBorders>
          </w:tcPr>
          <w:p>
            <w:pPr>
              <w:pStyle w:val="CodeBlock"/>
            </w:pPr>
            <w:r/>
            <w:r>
              <w:t>/**</w:t>
            </w:r>
          </w:p>
          <w:p>
            <w:pPr>
              <w:pStyle w:val="CodeBlock"/>
            </w:pPr>
            <w:r>
              <w:t xml:space="preserve"> * Checks whether a student can apply for an opportunity.</w:t>
            </w:r>
          </w:p>
          <w:p>
            <w:pPr>
              <w:pStyle w:val="CodeBlock"/>
            </w:pPr>
            <w:r>
              <w:t xml:space="preserve"> *</w:t>
            </w:r>
          </w:p>
          <w:p>
            <w:pPr>
              <w:pStyle w:val="CodeBlock"/>
            </w:pPr>
            <w:r>
              <w:t xml:space="preserve"> * @param studentId the ID of the student</w:t>
            </w:r>
          </w:p>
          <w:p>
            <w:pPr>
              <w:pStyle w:val="CodeBlock"/>
            </w:pPr>
            <w:r>
              <w:t xml:space="preserve"> * @param opportunityId the ID of the opportunity</w:t>
            </w:r>
          </w:p>
          <w:p>
            <w:pPr>
              <w:pStyle w:val="CodeBlock"/>
            </w:pPr>
            <w:r>
              <w:t xml:space="preserve"> * @return true when the opportunity is open and no application exists</w:t>
            </w:r>
          </w:p>
          <w:p>
            <w:pPr>
              <w:pStyle w:val="CodeBlock"/>
            </w:pPr>
            <w:r>
              <w:t xml:space="preserve"> */</w:t>
            </w:r>
          </w:p>
          <w:p>
            <w:pPr>
              <w:pStyle w:val="CodeBlock"/>
            </w:pPr>
            <w:r>
              <w:t>public boolean canApply(long studentId, long opportunityId) {</w:t>
            </w:r>
          </w:p>
          <w:p>
            <w:pPr>
              <w:pStyle w:val="CodeBlock"/>
            </w:pPr>
            <w:r>
              <w:t xml:space="preserve">    // Validation logic would be implemented here.</w:t>
            </w:r>
          </w:p>
          <w:p>
            <w:pPr>
              <w:pStyle w:val="CodeBlock"/>
            </w:pPr>
            <w:r>
              <w:t xml:space="preserve">    return false;</w:t>
            </w:r>
          </w:p>
          <w:p>
            <w:pPr>
              <w:pStyle w:val="CodeBlock"/>
            </w:pPr>
            <w:r>
              <w:t>}</w:t>
            </w:r>
          </w:p>
        </w:tc>
      </w:tr>
    </w:tbl>
    <w:p>
      <w:pPr>
        <w:spacing w:after="20"/>
      </w:pPr>
    </w:p>
    <w:p>
      <w:r>
        <w:t>JavaDoc uses a structured comment format that documentation tools can process. This example describes the method's intended contract; the placeholder return value is not production logic.</w:t>
      </w:r>
    </w:p>
    <w:p>
      <w:pPr>
        <w:pStyle w:val="Heading2"/>
      </w:pPr>
      <w:r>
        <w:t>4.4 Different types of documentation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Type</w:t>
            </w:r>
          </w:p>
        </w:tc>
        <w:tc>
          <w:tcPr>
            <w:tcW w:type="dxa" w:w="4320"/>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Best used for</w:t>
            </w:r>
          </w:p>
        </w:tc>
        <w:tc>
          <w:tcPr>
            <w:tcW w:type="dxa" w:w="3672"/>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Example</w:t>
            </w:r>
          </w:p>
        </w:tc>
      </w:tr>
      <w:tr>
        <w:tc>
          <w:tcPr>
            <w:tcW w:type="dxa" w:w="180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Inline comment</w:t>
            </w:r>
          </w:p>
        </w:tc>
        <w:tc>
          <w:tcPr>
            <w:tcW w:type="dxa" w:w="432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Explaining a non-obvious rule near the relevant code.</w:t>
            </w:r>
          </w:p>
        </w:tc>
        <w:tc>
          <w:tcPr>
            <w:tcW w:type="dxa" w:w="3672"/>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Why duplicate applications are blocked.</w:t>
            </w:r>
          </w:p>
        </w:tc>
      </w:tr>
      <w:tr>
        <w:tc>
          <w:tcPr>
            <w:tcW w:type="dxa" w:w="1800"/>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JavaDoc</w:t>
            </w:r>
          </w:p>
        </w:tc>
        <w:tc>
          <w:tcPr>
            <w:tcW w:type="dxa" w:w="4320"/>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Public classes and methods, parameters, return values, and exceptions.</w:t>
            </w:r>
          </w:p>
        </w:tc>
        <w:tc>
          <w:tcPr>
            <w:tcW w:type="dxa" w:w="3672"/>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canApply(studentId, opportunityId).</w:t>
            </w:r>
          </w:p>
        </w:tc>
      </w:tr>
      <w:tr>
        <w:tc>
          <w:tcPr>
            <w:tcW w:type="dxa" w:w="180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README</w:t>
            </w:r>
          </w:p>
        </w:tc>
        <w:tc>
          <w:tcPr>
            <w:tcW w:type="dxa" w:w="432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Project purpose, setup instructions, folder overview, and test commands.</w:t>
            </w:r>
          </w:p>
        </w:tc>
        <w:tc>
          <w:tcPr>
            <w:tcW w:type="dxa" w:w="3672"/>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Getting started with the project.</w:t>
            </w:r>
          </w:p>
        </w:tc>
      </w:tr>
      <w:tr>
        <w:tc>
          <w:tcPr>
            <w:tcW w:type="dxa" w:w="1800"/>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Design document</w:t>
            </w:r>
          </w:p>
        </w:tc>
        <w:tc>
          <w:tcPr>
            <w:tcW w:type="dxa" w:w="4320"/>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Architecture, module responsibilities, diagrams, and decisions.</w:t>
            </w:r>
          </w:p>
        </w:tc>
        <w:tc>
          <w:tcPr>
            <w:tcW w:type="dxa" w:w="3672"/>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Frontend → Backend/API → MySQL.</w:t>
            </w:r>
          </w:p>
        </w:tc>
      </w:tr>
    </w:tbl>
    <w:p>
      <w:pPr>
        <w:spacing w:after="20"/>
      </w:pPr>
    </w:p>
    <w:p>
      <w:pPr>
        <w:pStyle w:val="Heading1"/>
      </w:pPr>
      <w:r>
        <w:t>5. Applying the Guidelines to the Proposed System</w:t>
      </w:r>
    </w:p>
    <w:p>
      <w:r>
        <w:t>This section connects the rules to the system described in the earlier reports. These are small design-level examples of how consistent naming and documentation could help when implementation continues.</w:t>
      </w:r>
    </w:p>
    <w:p>
      <w:pPr>
        <w:pStyle w:val="Heading2"/>
      </w:pPr>
      <w:r>
        <w:t>5.1 Mini case study: application status</w:t>
      </w:r>
    </w:p>
    <w:p>
      <w:r>
        <w:t>The system may use statuses such as Applied, Under Review, Shortlisted, Selected, and Rejected. It would be confusing if different parts of the application used variations such as “Short List” and “shortlisted” for the same status. The team should define the allowed values in one place and document which role can update them.</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Scenario</w:t>
            </w:r>
          </w:p>
        </w:tc>
        <w:tc>
          <w:tcPr>
            <w:tcW w:type="dxa" w:w="4032"/>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Guideline applied</w:t>
            </w:r>
          </w:p>
        </w:tc>
        <w:tc>
          <w:tcPr>
            <w:tcW w:type="dxa" w:w="3168"/>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Expected benefit</w:t>
            </w:r>
          </w:p>
        </w:tc>
      </w:tr>
      <w:tr>
        <w:tc>
          <w:tcPr>
            <w:tcW w:type="dxa" w:w="2592"/>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A student submits an application</w:t>
            </w:r>
          </w:p>
        </w:tc>
        <w:tc>
          <w:tcPr>
            <w:tcW w:type="dxa" w:w="4032"/>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Use names such as applicationStatus and opportunityId.</w:t>
            </w:r>
          </w:p>
        </w:tc>
        <w:tc>
          <w:tcPr>
            <w:tcW w:type="dxa" w:w="3168"/>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The meaning of the data is clear.</w:t>
            </w:r>
          </w:p>
        </w:tc>
      </w:tr>
      <w:tr>
        <w:tc>
          <w:tcPr>
            <w:tcW w:type="dxa" w:w="2592"/>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A student tries to apply twice</w:t>
            </w:r>
          </w:p>
        </w:tc>
        <w:tc>
          <w:tcPr>
            <w:tcW w:type="dxa" w:w="4032"/>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Document the duplicate-application rule near validation.</w:t>
            </w:r>
          </w:p>
        </w:tc>
        <w:tc>
          <w:tcPr>
            <w:tcW w:type="dxa" w:w="3168"/>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The business rule is easier to understand.</w:t>
            </w:r>
          </w:p>
        </w:tc>
      </w:tr>
      <w:tr>
        <w:tc>
          <w:tcPr>
            <w:tcW w:type="dxa" w:w="2592"/>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A recruiter updates a status</w:t>
            </w:r>
          </w:p>
        </w:tc>
        <w:tc>
          <w:tcPr>
            <w:tcW w:type="dxa" w:w="4032"/>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Use approved status values and document allowed transitions.</w:t>
            </w:r>
          </w:p>
        </w:tc>
        <w:tc>
          <w:tcPr>
            <w:tcW w:type="dxa" w:w="3168"/>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Reduces inconsistent status handling.</w:t>
            </w:r>
          </w:p>
        </w:tc>
      </w:tr>
      <w:tr>
        <w:tc>
          <w:tcPr>
            <w:tcW w:type="dxa" w:w="2592"/>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An administrator removes an expired listing</w:t>
            </w:r>
          </w:p>
        </w:tc>
        <w:tc>
          <w:tcPr>
            <w:tcW w:type="dxa" w:w="4032"/>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Document expiry rules and access permissions.</w:t>
            </w:r>
          </w:p>
        </w:tc>
        <w:tc>
          <w:tcPr>
            <w:tcW w:type="dxa" w:w="3168"/>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Supports safer maintenance.</w:t>
            </w:r>
          </w:p>
        </w:tc>
      </w:tr>
    </w:tbl>
    <w:p>
      <w:pPr>
        <w:spacing w:after="20"/>
      </w:pPr>
    </w:p>
    <w:p>
      <w:pPr>
        <w:pStyle w:val="Heading2"/>
      </w:pPr>
      <w:r>
        <w:t>5.2 Proposed application flow</w:t>
      </w:r>
    </w:p>
    <w:tbl>
      <w:tblPr>
        <w:tblW w:type="auto" w:w="0"/>
        <w:jc w:val="center"/>
        <w:tblLook w:firstColumn="1" w:firstRow="1" w:lastColumn="0" w:lastRow="0" w:noHBand="0" w:noVBand="1" w:val="04A0"/>
      </w:tblPr>
      <w:tblGrid>
        <w:gridCol w:w="2498"/>
        <w:gridCol w:w="2498"/>
        <w:gridCol w:w="2498"/>
        <w:gridCol w:w="2498"/>
      </w:tblGrid>
      <w:tr>
        <w:tc>
          <w:tcPr>
            <w:tcW w:type="dxa" w:w="2498"/>
            <w:shd w:fill="FFF0F5"/>
            <w:tcMar>
              <w:top w:w="140" w:type="dxa"/>
              <w:start w:w="80" w:type="dxa"/>
              <w:bottom w:w="140" w:type="dxa"/>
              <w:end w:w="80" w:type="dxa"/>
            </w:tcMar>
            <w:tcBorders>
              <w:top w:val="single" w:sz="5" w:color="E9367A"/>
              <w:left w:val="single" w:sz="5" w:color="DDE0EA"/>
              <w:bottom w:val="single" w:sz="5" w:color="E9367A"/>
              <w:right w:val="single" w:sz="5" w:color="DDE0EA"/>
            </w:tcBorders>
          </w:tcPr>
          <w:p>
            <w:pPr>
              <w:jc w:val="center"/>
            </w:pPr>
            <w:r/>
            <w:r>
              <w:rPr>
                <w:b/>
                <w:color w:val="2937A4"/>
                <w:sz w:val="16"/>
              </w:rPr>
              <w:t>Student</w:t>
            </w:r>
          </w:p>
          <w:p>
            <w:pPr>
              <w:spacing w:after="0"/>
              <w:jc w:val="center"/>
            </w:pPr>
            <w:r>
              <w:rPr>
                <w:color w:val="626879"/>
                <w:sz w:val="14"/>
              </w:rPr>
              <w:t>Selects an opportunity</w:t>
            </w:r>
          </w:p>
          <w:p>
            <w:pPr>
              <w:spacing w:after="0"/>
              <w:jc w:val="center"/>
            </w:pPr>
            <w:r>
              <w:rPr>
                <w:b/>
                <w:color w:val="E9367A"/>
              </w:rPr>
              <w:t>→</w:t>
            </w:r>
          </w:p>
        </w:tc>
        <w:tc>
          <w:tcPr>
            <w:tcW w:type="dxa" w:w="2498"/>
            <w:shd w:fill="F4F5FB"/>
            <w:tcMar>
              <w:top w:w="140" w:type="dxa"/>
              <w:start w:w="80" w:type="dxa"/>
              <w:bottom w:w="140" w:type="dxa"/>
              <w:end w:w="80" w:type="dxa"/>
            </w:tcMar>
            <w:tcBorders>
              <w:top w:val="single" w:sz="5" w:color="DDE0EA"/>
              <w:left w:val="single" w:sz="5" w:color="DDE0EA"/>
              <w:bottom w:val="single" w:sz="5" w:color="DDE0EA"/>
              <w:right w:val="single" w:sz="5" w:color="DDE0EA"/>
            </w:tcBorders>
          </w:tcPr>
          <w:p>
            <w:pPr>
              <w:jc w:val="center"/>
            </w:pPr>
            <w:r/>
            <w:r>
              <w:rPr>
                <w:b/>
                <w:color w:val="2937A4"/>
                <w:sz w:val="16"/>
              </w:rPr>
              <w:t>Validation</w:t>
            </w:r>
          </w:p>
          <w:p>
            <w:pPr>
              <w:spacing w:after="0"/>
              <w:jc w:val="center"/>
            </w:pPr>
            <w:r>
              <w:rPr>
                <w:color w:val="626879"/>
                <w:sz w:val="14"/>
              </w:rPr>
              <w:t>Checks login, deadline, duplicate</w:t>
            </w:r>
          </w:p>
          <w:p>
            <w:pPr>
              <w:spacing w:after="0"/>
              <w:jc w:val="center"/>
            </w:pPr>
            <w:r>
              <w:rPr>
                <w:b/>
                <w:color w:val="E9367A"/>
              </w:rPr>
              <w:t>→</w:t>
            </w:r>
          </w:p>
        </w:tc>
        <w:tc>
          <w:tcPr>
            <w:tcW w:type="dxa" w:w="2498"/>
            <w:shd w:fill="F4F5FB"/>
            <w:tcMar>
              <w:top w:w="140" w:type="dxa"/>
              <w:start w:w="80" w:type="dxa"/>
              <w:bottom w:w="140" w:type="dxa"/>
              <w:end w:w="80" w:type="dxa"/>
            </w:tcMar>
            <w:tcBorders>
              <w:top w:val="single" w:sz="5" w:color="DDE0EA"/>
              <w:left w:val="single" w:sz="5" w:color="DDE0EA"/>
              <w:bottom w:val="single" w:sz="5" w:color="DDE0EA"/>
              <w:right w:val="single" w:sz="5" w:color="DDE0EA"/>
            </w:tcBorders>
          </w:tcPr>
          <w:p>
            <w:pPr>
              <w:jc w:val="center"/>
            </w:pPr>
            <w:r/>
            <w:r>
              <w:rPr>
                <w:b/>
                <w:color w:val="2937A4"/>
                <w:sz w:val="16"/>
              </w:rPr>
              <w:t>Application</w:t>
            </w:r>
          </w:p>
          <w:p>
            <w:pPr>
              <w:spacing w:after="0"/>
              <w:jc w:val="center"/>
            </w:pPr>
            <w:r>
              <w:rPr>
                <w:color w:val="626879"/>
                <w:sz w:val="14"/>
              </w:rPr>
              <w:t>Stores the application</w:t>
            </w:r>
          </w:p>
          <w:p>
            <w:pPr>
              <w:spacing w:after="0"/>
              <w:jc w:val="center"/>
            </w:pPr>
            <w:r>
              <w:rPr>
                <w:b/>
                <w:color w:val="E9367A"/>
              </w:rPr>
              <w:t>→</w:t>
            </w:r>
          </w:p>
        </w:tc>
        <w:tc>
          <w:tcPr>
            <w:tcW w:type="dxa" w:w="2498"/>
            <w:shd w:fill="F4F5FB"/>
            <w:tcMar>
              <w:top w:w="140" w:type="dxa"/>
              <w:start w:w="80" w:type="dxa"/>
              <w:bottom w:w="140" w:type="dxa"/>
              <w:end w:w="80" w:type="dxa"/>
            </w:tcMar>
            <w:tcBorders>
              <w:top w:val="single" w:sz="5" w:color="DDE0EA"/>
              <w:left w:val="single" w:sz="5" w:color="DDE0EA"/>
              <w:bottom w:val="single" w:sz="5" w:color="DDE0EA"/>
              <w:right w:val="single" w:sz="5" w:color="DDE0EA"/>
            </w:tcBorders>
          </w:tcPr>
          <w:p>
            <w:pPr>
              <w:jc w:val="center"/>
            </w:pPr>
            <w:r/>
            <w:r>
              <w:rPr>
                <w:b/>
                <w:color w:val="2937A4"/>
                <w:sz w:val="16"/>
              </w:rPr>
              <w:t>Status record</w:t>
            </w:r>
          </w:p>
          <w:p>
            <w:pPr>
              <w:spacing w:after="0"/>
              <w:jc w:val="center"/>
            </w:pPr>
            <w:r>
              <w:rPr>
                <w:color w:val="626879"/>
                <w:sz w:val="14"/>
              </w:rPr>
              <w:t>Starts as Applied</w:t>
            </w:r>
          </w:p>
        </w:tc>
      </w:tr>
    </w:tbl>
    <w:p>
      <w:pPr>
        <w:spacing w:after="140"/>
        <w:jc w:val="center"/>
      </w:pPr>
      <w:r>
        <w:rPr>
          <w:i/>
          <w:color w:val="626879"/>
          <w:sz w:val="16"/>
        </w:rPr>
        <w:t>Figure 1. Proposed application flow. Important business rules should be documented at the validation step.</w:t>
      </w:r>
    </w:p>
    <w:p>
      <w:pPr>
        <w:pStyle w:val="Heading2"/>
      </w:pPr>
      <w:r>
        <w:t>5.3 Suggested method names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176"/>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Illustrative method name</w:t>
            </w:r>
          </w:p>
        </w:tc>
        <w:tc>
          <w:tcPr>
            <w:tcW w:type="dxa" w:w="5616"/>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Responsibility</w:t>
            </w:r>
          </w:p>
        </w:tc>
      </w:tr>
      <w:tr>
        <w:tc>
          <w:tcPr>
            <w:tcW w:type="dxa" w:w="417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findOpenOpportunities(filters)</w:t>
            </w:r>
          </w:p>
        </w:tc>
        <w:tc>
          <w:tcPr>
            <w:tcW w:type="dxa" w:w="561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Finds listings matching filters that are still open.</w:t>
            </w:r>
          </w:p>
        </w:tc>
      </w:tr>
      <w:tr>
        <w:tc>
          <w:tcPr>
            <w:tcW w:type="dxa" w:w="4176"/>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canApply(studentId, opportunityId)</w:t>
            </w:r>
          </w:p>
        </w:tc>
        <w:tc>
          <w:tcPr>
            <w:tcW w:type="dxa" w:w="5616"/>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Checks conditions for submitting an application.</w:t>
            </w:r>
          </w:p>
        </w:tc>
      </w:tr>
      <w:tr>
        <w:tc>
          <w:tcPr>
            <w:tcW w:type="dxa" w:w="417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submitApplication(studentId, opportunityId)</w:t>
            </w:r>
          </w:p>
        </w:tc>
        <w:tc>
          <w:tcPr>
            <w:tcW w:type="dxa" w:w="561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Coordinates application submission.</w:t>
            </w:r>
          </w:p>
        </w:tc>
      </w:tr>
      <w:tr>
        <w:tc>
          <w:tcPr>
            <w:tcW w:type="dxa" w:w="4176"/>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updateApplicationStatus(applicationId, newStatus)</w:t>
            </w:r>
          </w:p>
        </w:tc>
        <w:tc>
          <w:tcPr>
            <w:tcW w:type="dxa" w:w="5616"/>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Updates status after permission and transition checks.</w:t>
            </w:r>
          </w:p>
        </w:tc>
      </w:tr>
      <w:tr>
        <w:tc>
          <w:tcPr>
            <w:tcW w:type="dxa" w:w="417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sendStatusNotification(applicationId)</w:t>
            </w:r>
          </w:p>
        </w:tc>
        <w:tc>
          <w:tcPr>
            <w:tcW w:type="dxa" w:w="561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Prepares a notification after a relevant status change.</w:t>
            </w:r>
          </w:p>
        </w:tc>
      </w:tr>
    </w:tbl>
    <w:p>
      <w:pPr>
        <w:spacing w:after="20"/>
      </w:pPr>
    </w:p>
    <w:p>
      <w:r>
        <w:t>These are proposed names for planning purposes, not a claim that the methods already exist in the repository.</w:t>
      </w:r>
    </w:p>
    <w:tbl>
      <w:tblPr>
        <w:tblW w:type="auto" w:w="0"/>
        <w:tblLook w:firstColumn="1" w:firstRow="1" w:lastColumn="0" w:lastRow="0" w:noHBand="0" w:noVBand="1" w:val="04A0"/>
      </w:tblPr>
      <w:tblGrid>
        <w:gridCol w:w="9994"/>
      </w:tblGrid>
      <w:tr>
        <w:tc>
          <w:tcPr>
            <w:tcW w:type="dxa" w:w="9994"/>
            <w:shd w:fill="FFF0F5"/>
            <w:tcMar>
              <w:top w:w="140" w:type="dxa"/>
              <w:start w:w="180" w:type="dxa"/>
              <w:bottom w:w="140" w:type="dxa"/>
              <w:end w:w="180" w:type="dxa"/>
            </w:tcMar>
            <w:tcBorders>
              <w:top w:val="single" w:sz="3" w:color="F5C9D8"/>
              <w:left w:val="single" w:sz="16" w:color="E9367A"/>
              <w:bottom w:val="single" w:sz="3" w:color="F5C9D8"/>
              <w:right w:val="single" w:sz="3" w:color="F5C9D8"/>
            </w:tcBorders>
          </w:tcPr>
          <w:p>
            <w:pPr>
              <w:spacing w:after="0"/>
            </w:pPr>
            <w:r>
              <w:rPr>
                <w:b/>
                <w:color w:val="2937A4"/>
                <w:sz w:val="19"/>
              </w:rPr>
              <w:t>Example business rule: a student should not submit more than one application for the same opportunity. Before saving a new application, the system should check whether one already exists and show a clear message if it does.</w:t>
            </w:r>
          </w:p>
        </w:tc>
      </w:tr>
    </w:tbl>
    <w:p>
      <w:pPr>
        <w:spacing w:after="20"/>
      </w:pPr>
    </w:p>
    <w:p>
      <w:pPr>
        <w:pStyle w:val="Heading1"/>
      </w:pPr>
      <w:r>
        <w:t>6. Tools and Suggested Workflow</w:t>
      </w:r>
    </w:p>
    <w:p>
      <w:r>
        <w:t>Tools can make these guidelines easier to follow. A formatter can keep layout consistent, but it cannot decide whether a method is well designed or whether a comment is accurate. Those decisions still need a developer's attention.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Tool</w:t>
            </w:r>
          </w:p>
        </w:tc>
        <w:tc>
          <w:tcPr>
            <w:tcW w:type="dxa" w:w="3312"/>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Role</w:t>
            </w:r>
          </w:p>
        </w:tc>
        <w:tc>
          <w:tcPr>
            <w:tcW w:type="dxa" w:w="4176"/>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How I would use it</w:t>
            </w:r>
          </w:p>
        </w:tc>
      </w:tr>
      <w:tr>
        <w:tc>
          <w:tcPr>
            <w:tcW w:type="dxa" w:w="216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Visual Studio Code / IntelliJ IDEA</w:t>
            </w:r>
          </w:p>
        </w:tc>
        <w:tc>
          <w:tcPr>
            <w:tcW w:type="dxa" w:w="3312"/>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Editor and language support.</w:t>
            </w:r>
          </w:p>
        </w:tc>
        <w:tc>
          <w:tcPr>
            <w:tcW w:type="dxa" w:w="417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Use formatting, syntax highlighting, and code navigation.</w:t>
            </w:r>
          </w:p>
        </w:tc>
      </w:tr>
      <w:tr>
        <w:tc>
          <w:tcPr>
            <w:tcW w:type="dxa" w:w="2160"/>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Java formatter</w:t>
            </w:r>
          </w:p>
        </w:tc>
        <w:tc>
          <w:tcPr>
            <w:tcW w:type="dxa" w:w="3312"/>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Applies consistent Java layout.</w:t>
            </w:r>
          </w:p>
        </w:tc>
        <w:tc>
          <w:tcPr>
            <w:tcW w:type="dxa" w:w="4176"/>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Format changed files before review.</w:t>
            </w:r>
          </w:p>
        </w:tc>
      </w:tr>
      <w:tr>
        <w:tc>
          <w:tcPr>
            <w:tcW w:type="dxa" w:w="216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Checkstyle</w:t>
            </w:r>
          </w:p>
        </w:tc>
        <w:tc>
          <w:tcPr>
            <w:tcW w:type="dxa" w:w="3312"/>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Checks Java source-style rules.</w:t>
            </w:r>
          </w:p>
        </w:tc>
        <w:tc>
          <w:tcPr>
            <w:tcW w:type="dxa" w:w="417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Use shared settings to flag naming and formatting issues.</w:t>
            </w:r>
          </w:p>
        </w:tc>
      </w:tr>
      <w:tr>
        <w:tc>
          <w:tcPr>
            <w:tcW w:type="dxa" w:w="2160"/>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Javadoc</w:t>
            </w:r>
          </w:p>
        </w:tc>
        <w:tc>
          <w:tcPr>
            <w:tcW w:type="dxa" w:w="3312"/>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Generates API documentation from JavaDoc comments.</w:t>
            </w:r>
          </w:p>
        </w:tc>
        <w:tc>
          <w:tcPr>
            <w:tcW w:type="dxa" w:w="4176"/>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Generate reference documentation for selected public classes and methods.</w:t>
            </w:r>
          </w:p>
        </w:tc>
      </w:tr>
      <w:tr>
        <w:tc>
          <w:tcPr>
            <w:tcW w:type="dxa" w:w="216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Git and GitHub</w:t>
            </w:r>
          </w:p>
        </w:tc>
        <w:tc>
          <w:tcPr>
            <w:tcW w:type="dxa" w:w="3312"/>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Version history and collaboration.</w:t>
            </w:r>
          </w:p>
        </w:tc>
        <w:tc>
          <w:tcPr>
            <w:tcW w:type="dxa" w:w="4176"/>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Commit focused changes and review before merging.</w:t>
            </w:r>
          </w:p>
        </w:tc>
      </w:tr>
      <w:tr>
        <w:tc>
          <w:tcPr>
            <w:tcW w:type="dxa" w:w="2160"/>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Markdown README</w:t>
            </w:r>
          </w:p>
        </w:tc>
        <w:tc>
          <w:tcPr>
            <w:tcW w:type="dxa" w:w="3312"/>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Basic project documentation.</w:t>
            </w:r>
          </w:p>
        </w:tc>
        <w:tc>
          <w:tcPr>
            <w:tcW w:type="dxa" w:w="4176"/>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Keep setup steps, module overview, and contribution rules accessible.</w:t>
            </w:r>
          </w:p>
        </w:tc>
      </w:tr>
    </w:tbl>
    <w:p>
      <w:pPr>
        <w:spacing w:after="20"/>
      </w:pPr>
    </w:p>
    <w:p>
      <w:pPr>
        <w:pStyle w:val="Heading2"/>
      </w:pPr>
      <w:r>
        <w:t>6.1 Suggested workflow</w:t>
      </w:r>
    </w:p>
    <w:tbl>
      <w:tblPr>
        <w:tblW w:type="auto" w:w="0"/>
        <w:jc w:val="center"/>
        <w:tblLook w:firstColumn="1" w:firstRow="1" w:lastColumn="0" w:lastRow="0" w:noHBand="0" w:noVBand="1" w:val="04A0"/>
      </w:tblPr>
      <w:tblGrid>
        <w:gridCol w:w="1999"/>
        <w:gridCol w:w="1999"/>
        <w:gridCol w:w="1999"/>
        <w:gridCol w:w="1999"/>
        <w:gridCol w:w="1999"/>
      </w:tblGrid>
      <w:tr>
        <w:tc>
          <w:tcPr>
            <w:tcW w:type="dxa" w:w="1999"/>
            <w:shd w:fill="FFF0F5"/>
            <w:tcMar>
              <w:top w:w="140" w:type="dxa"/>
              <w:start w:w="80" w:type="dxa"/>
              <w:bottom w:w="140" w:type="dxa"/>
              <w:end w:w="80" w:type="dxa"/>
            </w:tcMar>
            <w:tcBorders>
              <w:top w:val="single" w:sz="5" w:color="E9367A"/>
              <w:left w:val="single" w:sz="5" w:color="DDE0EA"/>
              <w:bottom w:val="single" w:sz="5" w:color="E9367A"/>
              <w:right w:val="single" w:sz="5" w:color="DDE0EA"/>
            </w:tcBorders>
          </w:tcPr>
          <w:p>
            <w:pPr>
              <w:jc w:val="center"/>
            </w:pPr>
            <w:r/>
            <w:r>
              <w:rPr>
                <w:b/>
                <w:color w:val="2937A4"/>
                <w:sz w:val="16"/>
              </w:rPr>
              <w:t>Write</w:t>
            </w:r>
          </w:p>
          <w:p>
            <w:pPr>
              <w:spacing w:after="0"/>
              <w:jc w:val="center"/>
            </w:pPr>
            <w:r>
              <w:rPr>
                <w:color w:val="626879"/>
                <w:sz w:val="14"/>
              </w:rPr>
              <w:t>Follow agreed rules</w:t>
            </w:r>
          </w:p>
          <w:p>
            <w:pPr>
              <w:spacing w:after="0"/>
              <w:jc w:val="center"/>
            </w:pPr>
            <w:r>
              <w:rPr>
                <w:b/>
                <w:color w:val="E9367A"/>
              </w:rPr>
              <w:t>→</w:t>
            </w:r>
          </w:p>
        </w:tc>
        <w:tc>
          <w:tcPr>
            <w:tcW w:type="dxa" w:w="1999"/>
            <w:shd w:fill="F4F5FB"/>
            <w:tcMar>
              <w:top w:w="140" w:type="dxa"/>
              <w:start w:w="80" w:type="dxa"/>
              <w:bottom w:w="140" w:type="dxa"/>
              <w:end w:w="80" w:type="dxa"/>
            </w:tcMar>
            <w:tcBorders>
              <w:top w:val="single" w:sz="5" w:color="DDE0EA"/>
              <w:left w:val="single" w:sz="5" w:color="DDE0EA"/>
              <w:bottom w:val="single" w:sz="5" w:color="DDE0EA"/>
              <w:right w:val="single" w:sz="5" w:color="DDE0EA"/>
            </w:tcBorders>
          </w:tcPr>
          <w:p>
            <w:pPr>
              <w:jc w:val="center"/>
            </w:pPr>
            <w:r/>
            <w:r>
              <w:rPr>
                <w:b/>
                <w:color w:val="2937A4"/>
                <w:sz w:val="16"/>
              </w:rPr>
              <w:t>Format</w:t>
            </w:r>
          </w:p>
          <w:p>
            <w:pPr>
              <w:spacing w:after="0"/>
              <w:jc w:val="center"/>
            </w:pPr>
            <w:r>
              <w:rPr>
                <w:color w:val="626879"/>
                <w:sz w:val="14"/>
              </w:rPr>
              <w:t>Run formatter/checks</w:t>
            </w:r>
          </w:p>
          <w:p>
            <w:pPr>
              <w:spacing w:after="0"/>
              <w:jc w:val="center"/>
            </w:pPr>
            <w:r>
              <w:rPr>
                <w:b/>
                <w:color w:val="E9367A"/>
              </w:rPr>
              <w:t>→</w:t>
            </w:r>
          </w:p>
        </w:tc>
        <w:tc>
          <w:tcPr>
            <w:tcW w:type="dxa" w:w="1999"/>
            <w:shd w:fill="F4F5FB"/>
            <w:tcMar>
              <w:top w:w="140" w:type="dxa"/>
              <w:start w:w="80" w:type="dxa"/>
              <w:bottom w:w="140" w:type="dxa"/>
              <w:end w:w="80" w:type="dxa"/>
            </w:tcMar>
            <w:tcBorders>
              <w:top w:val="single" w:sz="5" w:color="DDE0EA"/>
              <w:left w:val="single" w:sz="5" w:color="DDE0EA"/>
              <w:bottom w:val="single" w:sz="5" w:color="DDE0EA"/>
              <w:right w:val="single" w:sz="5" w:color="DDE0EA"/>
            </w:tcBorders>
          </w:tcPr>
          <w:p>
            <w:pPr>
              <w:jc w:val="center"/>
            </w:pPr>
            <w:r/>
            <w:r>
              <w:rPr>
                <w:b/>
                <w:color w:val="2937A4"/>
                <w:sz w:val="16"/>
              </w:rPr>
              <w:t>Document</w:t>
            </w:r>
          </w:p>
          <w:p>
            <w:pPr>
              <w:spacing w:after="0"/>
              <w:jc w:val="center"/>
            </w:pPr>
            <w:r>
              <w:rPr>
                <w:color w:val="626879"/>
                <w:sz w:val="14"/>
              </w:rPr>
              <w:t>Add useful comments</w:t>
            </w:r>
          </w:p>
          <w:p>
            <w:pPr>
              <w:spacing w:after="0"/>
              <w:jc w:val="center"/>
            </w:pPr>
            <w:r>
              <w:rPr>
                <w:b/>
                <w:color w:val="E9367A"/>
              </w:rPr>
              <w:t>→</w:t>
            </w:r>
          </w:p>
        </w:tc>
        <w:tc>
          <w:tcPr>
            <w:tcW w:type="dxa" w:w="1999"/>
            <w:shd w:fill="F4F5FB"/>
            <w:tcMar>
              <w:top w:w="140" w:type="dxa"/>
              <w:start w:w="80" w:type="dxa"/>
              <w:bottom w:w="140" w:type="dxa"/>
              <w:end w:w="80" w:type="dxa"/>
            </w:tcMar>
            <w:tcBorders>
              <w:top w:val="single" w:sz="5" w:color="DDE0EA"/>
              <w:left w:val="single" w:sz="5" w:color="DDE0EA"/>
              <w:bottom w:val="single" w:sz="5" w:color="DDE0EA"/>
              <w:right w:val="single" w:sz="5" w:color="DDE0EA"/>
            </w:tcBorders>
          </w:tcPr>
          <w:p>
            <w:pPr>
              <w:jc w:val="center"/>
            </w:pPr>
            <w:r/>
            <w:r>
              <w:rPr>
                <w:b/>
                <w:color w:val="2937A4"/>
                <w:sz w:val="16"/>
              </w:rPr>
              <w:t>Review</w:t>
            </w:r>
          </w:p>
          <w:p>
            <w:pPr>
              <w:spacing w:after="0"/>
              <w:jc w:val="center"/>
            </w:pPr>
            <w:r>
              <w:rPr>
                <w:color w:val="626879"/>
                <w:sz w:val="14"/>
              </w:rPr>
              <w:t>Check code and docs</w:t>
            </w:r>
          </w:p>
          <w:p>
            <w:pPr>
              <w:spacing w:after="0"/>
              <w:jc w:val="center"/>
            </w:pPr>
            <w:r>
              <w:rPr>
                <w:b/>
                <w:color w:val="E9367A"/>
              </w:rPr>
              <w:t>→</w:t>
            </w:r>
          </w:p>
        </w:tc>
        <w:tc>
          <w:tcPr>
            <w:tcW w:type="dxa" w:w="1999"/>
            <w:shd w:fill="F4F5FB"/>
            <w:tcMar>
              <w:top w:w="140" w:type="dxa"/>
              <w:start w:w="80" w:type="dxa"/>
              <w:bottom w:w="140" w:type="dxa"/>
              <w:end w:w="80" w:type="dxa"/>
            </w:tcMar>
            <w:tcBorders>
              <w:top w:val="single" w:sz="5" w:color="DDE0EA"/>
              <w:left w:val="single" w:sz="5" w:color="DDE0EA"/>
              <w:bottom w:val="single" w:sz="5" w:color="DDE0EA"/>
              <w:right w:val="single" w:sz="5" w:color="DDE0EA"/>
            </w:tcBorders>
          </w:tcPr>
          <w:p>
            <w:pPr>
              <w:jc w:val="center"/>
            </w:pPr>
            <w:r/>
            <w:r>
              <w:rPr>
                <w:b/>
                <w:color w:val="2937A4"/>
                <w:sz w:val="16"/>
              </w:rPr>
              <w:t>Commit</w:t>
            </w:r>
          </w:p>
          <w:p>
            <w:pPr>
              <w:spacing w:after="0"/>
              <w:jc w:val="center"/>
            </w:pPr>
            <w:r>
              <w:rPr>
                <w:color w:val="626879"/>
                <w:sz w:val="14"/>
              </w:rPr>
              <w:t>Save reviewed change</w:t>
            </w:r>
          </w:p>
        </w:tc>
      </w:tr>
    </w:tbl>
    <w:p>
      <w:pPr>
        <w:spacing w:after="140"/>
        <w:jc w:val="center"/>
      </w:pPr>
      <w:r>
        <w:rPr>
          <w:i/>
          <w:color w:val="626879"/>
          <w:sz w:val="16"/>
        </w:rPr>
        <w:t>Figure 2. A lightweight workflow that would be practical for a student project.</w:t>
      </w:r>
    </w:p>
    <w:p>
      <w:pPr>
        <w:pStyle w:val="Heading2"/>
      </w:pPr>
      <w:r>
        <w:t>6.2 Code review checklist</w:t>
      </w:r>
    </w:p>
    <w:p>
      <w:pPr>
        <w:pStyle w:val="ListBullet"/>
        <w:spacing w:after="60"/>
      </w:pPr>
      <w:r>
        <w:t>Are class, method, variable, and constant names consistent?</w:t>
      </w:r>
    </w:p>
    <w:p>
      <w:pPr>
        <w:pStyle w:val="ListBullet"/>
        <w:spacing w:after="60"/>
      </w:pPr>
      <w:r>
        <w:t>Is indentation and spacing consistent with the agreed rules?</w:t>
      </w:r>
    </w:p>
    <w:p>
      <w:pPr>
        <w:pStyle w:val="ListBullet"/>
        <w:spacing w:after="60"/>
      </w:pPr>
      <w:r>
        <w:t>Does each method have one clear responsibility?</w:t>
      </w:r>
    </w:p>
    <w:p>
      <w:pPr>
        <w:pStyle w:val="ListBullet"/>
        <w:spacing w:after="60"/>
      </w:pPr>
      <w:r>
        <w:t>Are important business rules and edge cases documented?</w:t>
      </w:r>
    </w:p>
    <w:p>
      <w:pPr>
        <w:pStyle w:val="ListBullet"/>
        <w:spacing w:after="60"/>
      </w:pPr>
      <w:r>
        <w:t>Do the comments still match the current code?</w:t>
      </w:r>
    </w:p>
    <w:p>
      <w:pPr>
        <w:pStyle w:val="ListBullet"/>
        <w:spacing w:after="60"/>
      </w:pPr>
      <w:r>
        <w:t>Have unused imports and temporary debugging statements been removed?</w:t>
      </w:r>
    </w:p>
    <w:p>
      <w:pPr>
        <w:pStyle w:val="ListBullet"/>
        <w:spacing w:after="60"/>
      </w:pPr>
      <w:r>
        <w:t>Does the change avoid exposing credentials or personal data?</w:t>
      </w:r>
    </w:p>
    <w:p>
      <w:pPr>
        <w:pStyle w:val="ListBullet"/>
        <w:spacing w:after="60"/>
      </w:pPr>
      <w:r>
        <w:t>Have the README or design notes been updated if behaviour or setup changed?</w:t>
      </w:r>
    </w:p>
    <w:p>
      <w:pPr>
        <w:pStyle w:val="Heading2"/>
      </w:pPr>
      <w:r>
        <w:t>6.3 Keep the process realistic</w:t>
      </w:r>
    </w:p>
    <w:p>
      <w:r>
        <w:t>For a student project, I would begin with a small set of rules and apply them consistently rather than introducing too many tools at once. The first step is to agree on naming and formatting. As the codebase grows, automated checks can reduce repeated manual work. The chosen settings should be documented so each team member can follow the same process.</w:t>
      </w:r>
    </w:p>
    <w:p>
      <w:pPr>
        <w:pStyle w:val="Heading1"/>
      </w:pPr>
      <w:r>
        <w:t>7. Team Collaboration, Review Checklist, and Conclusion</w:t>
      </w:r>
    </w:p>
    <w:p>
      <w:r>
        <w:t>Coding standards become especially useful when several people contribute to the same project. If everyone uses a different naming or formatting style, reviewers spend extra time adjusting to each person's approach instead of concentrating on the logic. A shared standard helps the team discuss correctness, edge cases, and security more effectively.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600"/>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Practice</w:t>
            </w:r>
          </w:p>
        </w:tc>
        <w:tc>
          <w:tcPr>
            <w:tcW w:type="dxa" w:w="6192"/>
            <w:shd w:fill="2937A4"/>
            <w:vAlign w:val="center"/>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pPr>
            <w:r>
              <w:rPr>
                <w:rFonts w:ascii="Aptos" w:hAnsi="Aptos"/>
                <w:b/>
                <w:color w:val="FFFFFF"/>
                <w:sz w:val="17"/>
              </w:rPr>
              <w:t>How it supports the team</w:t>
            </w:r>
          </w:p>
        </w:tc>
      </w:tr>
      <w:tr>
        <w:tc>
          <w:tcPr>
            <w:tcW w:type="dxa" w:w="360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Shared naming and formatting rules</w:t>
            </w:r>
          </w:p>
        </w:tc>
        <w:tc>
          <w:tcPr>
            <w:tcW w:type="dxa" w:w="6192"/>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Makes code from different contributors look consistent.</w:t>
            </w:r>
          </w:p>
        </w:tc>
      </w:tr>
      <w:tr>
        <w:tc>
          <w:tcPr>
            <w:tcW w:type="dxa" w:w="3600"/>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Useful comments and JavaDoc</w:t>
            </w:r>
          </w:p>
        </w:tc>
        <w:tc>
          <w:tcPr>
            <w:tcW w:type="dxa" w:w="6192"/>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Helps a new contributor understand intent and method expectations.</w:t>
            </w:r>
          </w:p>
        </w:tc>
      </w:tr>
      <w:tr>
        <w:tc>
          <w:tcPr>
            <w:tcW w:type="dxa" w:w="360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Small, focused changes</w:t>
            </w:r>
          </w:p>
        </w:tc>
        <w:tc>
          <w:tcPr>
            <w:tcW w:type="dxa" w:w="6192"/>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Makes reviews easier and avoids unrelated changes.</w:t>
            </w:r>
          </w:p>
        </w:tc>
      </w:tr>
      <w:tr>
        <w:tc>
          <w:tcPr>
            <w:tcW w:type="dxa" w:w="3600"/>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Automated formatting and style checks</w:t>
            </w:r>
          </w:p>
        </w:tc>
        <w:tc>
          <w:tcPr>
            <w:tcW w:type="dxa" w:w="6192"/>
            <w:shd w:fill="F4F5FB"/>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Catches repeatable style issues before or during review.</w:t>
            </w:r>
          </w:p>
        </w:tc>
      </w:tr>
      <w:tr>
        <w:tc>
          <w:tcPr>
            <w:tcW w:type="dxa" w:w="3600"/>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Updated README and design notes</w:t>
            </w:r>
          </w:p>
        </w:tc>
        <w:tc>
          <w:tcPr>
            <w:tcW w:type="dxa" w:w="6192"/>
            <w:shd w:fill="FFFFFF"/>
            <w:vAlign w:val="top"/>
            <w:tcMar>
              <w:top w:w="90" w:type="dxa"/>
              <w:start w:w="100" w:type="dxa"/>
              <w:bottom w:w="90" w:type="dxa"/>
              <w:end w:w="100" w:type="dxa"/>
            </w:tcMar>
            <w:tcBorders>
              <w:top w:val="single" w:sz="4" w:color="DDE0EA"/>
              <w:left w:val="single" w:sz="4" w:color="DDE0EA"/>
              <w:bottom w:val="single" w:sz="4" w:color="DDE0EA"/>
              <w:right w:val="single" w:sz="4" w:color="DDE0EA"/>
            </w:tcBorders>
          </w:tcPr>
          <w:p>
            <w:pPr>
              <w:spacing w:after="0" w:line="240" w:lineRule="auto"/>
            </w:pPr>
            <w:r>
              <w:rPr>
                <w:rFonts w:ascii="Aptos" w:hAnsi="Aptos"/>
                <w:color w:val="25283A"/>
                <w:sz w:val="16"/>
              </w:rPr>
              <w:t>Helps contributors set up the project and understand module boundaries.</w:t>
            </w:r>
          </w:p>
        </w:tc>
      </w:tr>
    </w:tbl>
    <w:p>
      <w:pPr>
        <w:spacing w:after="20"/>
      </w:pPr>
    </w:p>
    <w:p>
      <w:pPr>
        <w:pStyle w:val="Heading2"/>
      </w:pPr>
      <w:r>
        <w:t>7.1 Expected benefits</w:t>
      </w:r>
    </w:p>
    <w:p>
      <w:pPr>
        <w:pStyle w:val="ListBullet"/>
        <w:spacing w:after="60"/>
      </w:pPr>
      <w:r>
        <w:t>Readability: code is easier to scan and understand.</w:t>
      </w:r>
    </w:p>
    <w:p>
      <w:pPr>
        <w:pStyle w:val="ListBullet"/>
        <w:spacing w:after="60"/>
      </w:pPr>
      <w:r>
        <w:t>Maintainability: future changes are easier when responsibilities and business rules are clear.</w:t>
      </w:r>
    </w:p>
    <w:p>
      <w:pPr>
        <w:pStyle w:val="ListBullet"/>
        <w:spacing w:after="60"/>
      </w:pPr>
      <w:r>
        <w:t>Fewer avoidable mistakes: consistent names and documented constraints reduce misunderstandings.</w:t>
      </w:r>
    </w:p>
    <w:p>
      <w:pPr>
        <w:pStyle w:val="ListBullet"/>
        <w:spacing w:after="60"/>
      </w:pPr>
      <w:r>
        <w:t>Better collaboration: reviews can focus on behaviour rather than formatting preferences.</w:t>
      </w:r>
    </w:p>
    <w:p>
      <w:pPr>
        <w:pStyle w:val="ListBullet"/>
        <w:spacing w:after="60"/>
      </w:pPr>
      <w:r>
        <w:t>Clearer project presentation: the system is easier to explain to another student or evaluator.</w:t>
      </w:r>
    </w:p>
    <w:p>
      <w:pPr>
        <w:pStyle w:val="Heading2"/>
      </w:pPr>
      <w:r>
        <w:t>7.2 Limitations and next steps</w:t>
      </w:r>
    </w:p>
    <w:p>
      <w:r>
        <w:t>These guidelines are a proposed baseline and should be reviewed once the final repository structure and implementation details are confirmed. A practical next step would be to add a coding-guidelines section to the repository README, agree on formatter settings, and use the checklist during future reviews. Examples should be kept in line with the real implementation so the documentation stays accurate.</w:t>
      </w:r>
    </w:p>
    <w:p>
      <w:pPr>
        <w:pStyle w:val="Heading2"/>
      </w:pPr>
      <w:r>
        <w:t>Conclusion</w:t>
      </w:r>
    </w:p>
    <w:p>
      <w:r>
        <w:t>During Week 4, I prepared a proposed set of coding style and inline documentation guidelines for the Internship and Job Opportunity Management System. The report covers naming conventions, formatting, folder organisation, useful comments, JavaDoc, project-based examples, documentation tools, and a suggested review process. These practices should help keep the planned modules—authentication, opportunity management, application tracking, notifications, and administration—consistent as development continues. As a student, I see this as an important step between planning the system and building it: readable code and clear documentation can make debugging, teamwork, and future maintenance much easier.</w:t>
      </w:r>
    </w:p>
    <w:p>
      <w:pPr>
        <w:pStyle w:val="Heading2"/>
      </w:pPr>
      <w:r>
        <w:t>References and tools for further reading</w:t>
      </w:r>
    </w:p>
    <w:p>
      <w:pPr>
        <w:pStyle w:val="ListBullet"/>
        <w:spacing w:after="60"/>
      </w:pPr>
      <w:r>
        <w:t>Java documentation comments (JavaDoc): https://docs.oracle.com/en/java/</w:t>
      </w:r>
    </w:p>
    <w:p>
      <w:pPr>
        <w:pStyle w:val="ListBullet"/>
        <w:spacing w:after="60"/>
      </w:pPr>
      <w:r>
        <w:t>Checkstyle — Java source code style checker: https://checkstyle.org/</w:t>
      </w:r>
    </w:p>
    <w:p>
      <w:pPr>
        <w:pStyle w:val="ListBullet"/>
        <w:spacing w:after="60"/>
      </w:pPr>
      <w:r>
        <w:t>GitHub documentation: https://docs.github.com/</w:t>
      </w:r>
    </w:p>
    <w:p>
      <w:pPr>
        <w:pStyle w:val="ListBullet"/>
        <w:spacing w:after="60"/>
      </w:pPr>
      <w:r>
        <w:t>Visual Studio Code documentation: https://code.visualstudio.com/docs</w:t>
      </w:r>
    </w:p>
    <w:p>
      <w:r>
        <w:rPr>
          <w:i/>
          <w:color w:val="626879"/>
          <w:sz w:val="16"/>
        </w:rPr>
        <w:t>Report note: Code examples and workflows in this document are illustrative proposals for the planned system. They should not be read as proof that the application code or automated checks have already been implemented.</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879"/>
        <w:sz w:val="16"/>
      </w:rPr>
      <w:t>Amanjeet  •  Internship Report  •  15 October 2026</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25BFF"/>
        <w:sz w:val="16"/>
      </w:rPr>
      <w:t>YuvaIntern  |  WEEK 4 — CODING STANDARDS &amp;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528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2937A4"/>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625BF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2937A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25283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Internship Report — Coding Style Guidelines &amp; Inline Documentation</dc:title>
  <dc:subject>YuvaIntern Week 4 report</dc:subject>
  <dc:creator>Amanjeet</dc:creator>
  <cp:keywords>coding style, inline documentation, JavaDoc, internship report</cp:keywords>
  <dc:description>generated by python-docx</dc:description>
  <cp:lastModifiedBy/>
  <cp:revision>1</cp:revision>
  <dcterms:created xsi:type="dcterms:W3CDTF">2013-12-23T23:15:00Z</dcterms:created>
  <dcterms:modified xsi:type="dcterms:W3CDTF">2013-12-23T23:15:00Z</dcterms:modified>
  <cp:category/>
</cp:coreProperties>
</file>