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r>
        <w:rPr>
          <w:rFonts w:ascii="Aptos Display" w:hAnsi="Aptos Display"/>
          <w:b/>
          <w:color w:val="625BFF"/>
          <w:sz w:val="38"/>
        </w:rPr>
        <w:t>YuvaIntern</w:t>
      </w:r>
    </w:p>
    <w:p>
      <w:pPr>
        <w:spacing w:after="960"/>
      </w:pPr>
      <w:r>
        <w:rPr>
          <w:color w:val="626879"/>
          <w:sz w:val="20"/>
        </w:rPr>
        <w:t>Amanjeet</w:t>
      </w:r>
    </w:p>
    <w:p>
      <w:r>
        <w:rPr>
          <w:b/>
          <w:color w:val="E9367A"/>
          <w:sz w:val="20"/>
        </w:rPr>
        <w:t>WEEK 5 INTERNSHIP REPORT</w:t>
      </w:r>
    </w:p>
    <w:p>
      <w:pPr>
        <w:pStyle w:val="Title"/>
        <w:spacing w:after="200"/>
      </w:pPr>
      <w:r>
        <w:t>Testing Strategy &amp;</w:t>
        <w:br/>
        <w:t>Quality Assurance Plan</w:t>
      </w:r>
    </w:p>
    <w:p>
      <w:r>
        <w:rPr>
          <w:b/>
          <w:color w:val="E9367A"/>
          <w:sz w:val="22"/>
        </w:rPr>
        <w:t>15 October 2026</w:t>
      </w:r>
    </w:p>
    <w:tbl>
      <w:tblPr>
        <w:tblW w:type="auto" w:w="0"/>
        <w:tblLook w:firstColumn="1" w:firstRow="1" w:lastColumn="0" w:lastRow="0" w:noHBand="0" w:noVBand="1" w:val="04A0"/>
      </w:tblPr>
      <w:tblGrid>
        <w:gridCol w:w="9994"/>
      </w:tblGrid>
      <w:tr>
        <w:tc>
          <w:tcPr>
            <w:tcW w:type="dxa" w:w="9994"/>
            <w:shd w:fill="E9367A"/>
          </w:tcPr>
          <w:p>
            <w:r/>
          </w:p>
        </w:tc>
      </w:tr>
    </w:tbl>
    <w:p/>
    <w:p>
      <w:pPr>
        <w:pStyle w:val="Heading2"/>
      </w:pPr>
      <w:r>
        <w:t>Internship and Job Opportunity Management System</w:t>
      </w:r>
    </w:p>
    <w:p>
      <w:r>
        <w:t>This report presents a proposed testing strategy for the planned system. It explains what should be tested, which testing phases can be followed, and how defects and feedback can be used to improve quality before deployment.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2937A4"/>
            <w:tcMar>
              <w:top w:w="90" w:type="dxa"/>
              <w:start w:w="100" w:type="dxa"/>
              <w:bottom w:w="90" w:type="dxa"/>
              <w:end w:w="100" w:type="dxa"/>
            </w:tcMar>
            <w:vAlign w:val="center"/>
            <w:tcBorders>
              <w:top w:val="single" w:sz="4" w:color="DDE0EA"/>
              <w:bottom w:val="single" w:sz="4" w:color="DDE0EA"/>
              <w:left w:val="single" w:sz="4" w:color="DDE0EA"/>
              <w:right w:val="single" w:sz="4" w:color="DDE0EA"/>
            </w:tcBorders>
          </w:tcPr>
          <w:p>
            <w:pPr>
              <w:spacing w:after="0"/>
            </w:pPr>
            <w:r>
              <w:rPr>
                <w:rFonts w:ascii="Aptos" w:hAnsi="Aptos"/>
                <w:b/>
                <w:color w:val="FFFFFF"/>
                <w:sz w:val="17"/>
              </w:rPr>
              <w:t>Item</w:t>
            </w:r>
          </w:p>
        </w:tc>
        <w:tc>
          <w:tcPr>
            <w:tcW w:type="dxa" w:w="6912"/>
            <w:shd w:fill="2937A4"/>
            <w:tcMar>
              <w:top w:w="90" w:type="dxa"/>
              <w:start w:w="100" w:type="dxa"/>
              <w:bottom w:w="90" w:type="dxa"/>
              <w:end w:w="100" w:type="dxa"/>
            </w:tcMar>
            <w:vAlign w:val="center"/>
            <w:tcBorders>
              <w:top w:val="single" w:sz="4" w:color="DDE0EA"/>
              <w:bottom w:val="single" w:sz="4" w:color="DDE0EA"/>
              <w:left w:val="single" w:sz="4" w:color="DDE0EA"/>
              <w:right w:val="single" w:sz="4" w:color="DDE0EA"/>
            </w:tcBorders>
          </w:tcPr>
          <w:p>
            <w:pPr>
              <w:spacing w:after="0"/>
            </w:pPr>
            <w:r>
              <w:rPr>
                <w:rFonts w:ascii="Aptos" w:hAnsi="Aptos"/>
                <w:b/>
                <w:color w:val="FFFFFF"/>
                <w:sz w:val="17"/>
              </w:rPr>
              <w:t>Details</w:t>
            </w:r>
          </w:p>
        </w:tc>
      </w:tr>
      <w:tr>
        <w:tc>
          <w:tcPr>
            <w:tcW w:type="dxa" w:w="2880"/>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Internship task</w:t>
            </w:r>
          </w:p>
        </w:tc>
        <w:tc>
          <w:tcPr>
            <w:tcW w:type="dxa" w:w="6912"/>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Week 5 — Testing Strategy &amp; Quality Assurance Plan</w:t>
            </w:r>
          </w:p>
        </w:tc>
      </w:tr>
      <w:tr>
        <w:tc>
          <w:tcPr>
            <w:tcW w:type="dxa" w:w="2880"/>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Project</w:t>
            </w:r>
          </w:p>
        </w:tc>
        <w:tc>
          <w:tcPr>
            <w:tcW w:type="dxa" w:w="6912"/>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Internship &amp; Job Opportunity Management System</w:t>
            </w:r>
          </w:p>
        </w:tc>
      </w:tr>
      <w:tr>
        <w:tc>
          <w:tcPr>
            <w:tcW w:type="dxa" w:w="2880"/>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Planned technology stack</w:t>
            </w:r>
          </w:p>
        </w:tc>
        <w:tc>
          <w:tcPr>
            <w:tcW w:type="dxa" w:w="6912"/>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Java, Spring Boot, HTML/CSS/JavaScript, MySQL, Git/GitHub</w:t>
            </w:r>
          </w:p>
        </w:tc>
      </w:tr>
      <w:tr>
        <w:tc>
          <w:tcPr>
            <w:tcW w:type="dxa" w:w="2880"/>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Report approach</w:t>
            </w:r>
          </w:p>
        </w:tc>
        <w:tc>
          <w:tcPr>
            <w:tcW w:type="dxa" w:w="6912"/>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Student-level QA plan with illustrative test cases and suggested workflow</w:t>
            </w:r>
          </w:p>
        </w:tc>
      </w:tr>
    </w:tbl>
    <w:p>
      <w:pPr>
        <w:spacing w:after="20"/>
      </w:pPr>
    </w:p>
    <w:p>
      <w:r>
        <w:rPr>
          <w:i/>
          <w:color w:val="626879"/>
          <w:sz w:val="17"/>
        </w:rPr>
        <w:t>Note: This document describes a proposed testing plan. It does not claim that the application has already been built, tested, or deployed.</w:t>
      </w:r>
    </w:p>
    <w:p>
      <w:r>
        <w:br w:type="page"/>
      </w:r>
    </w:p>
    <w:p>
      <w:pPr>
        <w:pStyle w:val="Heading1"/>
      </w:pPr>
      <w:r>
        <w:t>Contents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296"/>
            <w:shd w:fill="2937A4"/>
            <w:tcMar>
              <w:top w:w="90" w:type="dxa"/>
              <w:start w:w="100" w:type="dxa"/>
              <w:bottom w:w="90" w:type="dxa"/>
              <w:end w:w="100" w:type="dxa"/>
            </w:tcMar>
            <w:vAlign w:val="center"/>
            <w:tcBorders>
              <w:top w:val="single" w:sz="4" w:color="DDE0EA"/>
              <w:bottom w:val="single" w:sz="4" w:color="DDE0EA"/>
              <w:left w:val="single" w:sz="4" w:color="DDE0EA"/>
              <w:right w:val="single" w:sz="4" w:color="DDE0EA"/>
            </w:tcBorders>
          </w:tcPr>
          <w:p>
            <w:pPr>
              <w:spacing w:after="0"/>
            </w:pPr>
            <w:r>
              <w:rPr>
                <w:rFonts w:ascii="Aptos" w:hAnsi="Aptos"/>
                <w:b/>
                <w:color w:val="FFFFFF"/>
                <w:sz w:val="17"/>
              </w:rPr>
              <w:t>Section</w:t>
            </w:r>
          </w:p>
        </w:tc>
        <w:tc>
          <w:tcPr>
            <w:tcW w:type="dxa" w:w="8496"/>
            <w:shd w:fill="2937A4"/>
            <w:tcMar>
              <w:top w:w="90" w:type="dxa"/>
              <w:start w:w="100" w:type="dxa"/>
              <w:bottom w:w="90" w:type="dxa"/>
              <w:end w:w="100" w:type="dxa"/>
            </w:tcMar>
            <w:vAlign w:val="center"/>
            <w:tcBorders>
              <w:top w:val="single" w:sz="4" w:color="DDE0EA"/>
              <w:bottom w:val="single" w:sz="4" w:color="DDE0EA"/>
              <w:left w:val="single" w:sz="4" w:color="DDE0EA"/>
              <w:right w:val="single" w:sz="4" w:color="DDE0EA"/>
            </w:tcBorders>
          </w:tcPr>
          <w:p>
            <w:pPr>
              <w:spacing w:after="0"/>
            </w:pPr>
            <w:r>
              <w:rPr>
                <w:rFonts w:ascii="Aptos" w:hAnsi="Aptos"/>
                <w:b/>
                <w:color w:val="FFFFFF"/>
                <w:sz w:val="17"/>
              </w:rPr>
              <w:t>Topic</w:t>
            </w:r>
          </w:p>
        </w:tc>
      </w:tr>
      <w:tr>
        <w:tc>
          <w:tcPr>
            <w:tcW w:type="dxa" w:w="1296"/>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01</w:t>
            </w:r>
          </w:p>
        </w:tc>
        <w:tc>
          <w:tcPr>
            <w:tcW w:type="dxa" w:w="8496"/>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Introduction and testing objectives</w:t>
            </w:r>
          </w:p>
        </w:tc>
      </w:tr>
      <w:tr>
        <w:tc>
          <w:tcPr>
            <w:tcW w:type="dxa" w:w="1296"/>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02</w:t>
            </w:r>
          </w:p>
        </w:tc>
        <w:tc>
          <w:tcPr>
            <w:tcW w:type="dxa" w:w="8496"/>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Testing lifecycle and phases</w:t>
            </w:r>
          </w:p>
        </w:tc>
      </w:tr>
      <w:tr>
        <w:tc>
          <w:tcPr>
            <w:tcW w:type="dxa" w:w="1296"/>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03</w:t>
            </w:r>
          </w:p>
        </w:tc>
        <w:tc>
          <w:tcPr>
            <w:tcW w:type="dxa" w:w="8496"/>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Testing types and methodologies</w:t>
            </w:r>
          </w:p>
        </w:tc>
      </w:tr>
      <w:tr>
        <w:tc>
          <w:tcPr>
            <w:tcW w:type="dxa" w:w="1296"/>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04</w:t>
            </w:r>
          </w:p>
        </w:tc>
        <w:tc>
          <w:tcPr>
            <w:tcW w:type="dxa" w:w="8496"/>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Project-specific test scenarios and cases</w:t>
            </w:r>
          </w:p>
        </w:tc>
      </w:tr>
      <w:tr>
        <w:tc>
          <w:tcPr>
            <w:tcW w:type="dxa" w:w="1296"/>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05</w:t>
            </w:r>
          </w:p>
        </w:tc>
        <w:tc>
          <w:tcPr>
            <w:tcW w:type="dxa" w:w="8496"/>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Tools and test environment</w:t>
            </w:r>
          </w:p>
        </w:tc>
      </w:tr>
      <w:tr>
        <w:tc>
          <w:tcPr>
            <w:tcW w:type="dxa" w:w="1296"/>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06</w:t>
            </w:r>
          </w:p>
        </w:tc>
        <w:tc>
          <w:tcPr>
            <w:tcW w:type="dxa" w:w="8496"/>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Defect tracking and quality assurance</w:t>
            </w:r>
          </w:p>
        </w:tc>
      </w:tr>
      <w:tr>
        <w:tc>
          <w:tcPr>
            <w:tcW w:type="dxa" w:w="1296"/>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07</w:t>
            </w:r>
          </w:p>
        </w:tc>
        <w:tc>
          <w:tcPr>
            <w:tcW w:type="dxa" w:w="8496"/>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Roles, reporting, and exit criteria</w:t>
            </w:r>
          </w:p>
        </w:tc>
      </w:tr>
      <w:tr>
        <w:tc>
          <w:tcPr>
            <w:tcW w:type="dxa" w:w="1296"/>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08</w:t>
            </w:r>
          </w:p>
        </w:tc>
        <w:tc>
          <w:tcPr>
            <w:tcW w:type="dxa" w:w="8496"/>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Conclusion and references</w:t>
            </w:r>
          </w:p>
        </w:tc>
      </w:tr>
    </w:tbl>
    <w:p>
      <w:pPr>
        <w:spacing w:after="20"/>
      </w:pPr>
    </w:p>
    <w:p>
      <w:pPr>
        <w:pStyle w:val="Heading1"/>
      </w:pPr>
      <w:r>
        <w:t>1. Introduction and Testing Objectives</w:t>
      </w:r>
    </w:p>
    <w:p>
      <w:r>
        <w:t>In Week 4, I prepared coding style and documentation guidelines for the proposed Internship and Job Opportunity Management System. The next step is to plan how the system's features could be checked systematically. Testing is important because a feature may look correct on the screen but still fail when a user enters invalid information, loses a connection, or tries an action they are not allowed to perform.</w:t>
      </w:r>
    </w:p>
    <w:p>
      <w:r>
        <w:t>The planned system is intended to help students find internship and job opportunities, submit applications, and check their status. Recruiters may manage listings and review applications, while administrators may manage users and platform content. Testing should therefore cover both normal user journeys and situations where the system must prevent errors, protect information, or show a useful message.</w:t>
      </w:r>
    </w:p>
    <w:p>
      <w:pPr>
        <w:pStyle w:val="Heading2"/>
      </w:pPr>
      <w:r>
        <w:t>Objectives</w:t>
      </w:r>
    </w:p>
    <w:p>
      <w:pPr>
        <w:pStyle w:val="ListBullet"/>
        <w:spacing w:after="60"/>
      </w:pPr>
      <w:r>
        <w:t>Define a practical testing lifecycle from planning through retesting and closure.</w:t>
      </w:r>
    </w:p>
    <w:p>
      <w:pPr>
        <w:pStyle w:val="ListBullet"/>
        <w:spacing w:after="60"/>
      </w:pPr>
      <w:r>
        <w:t>Explain unit, integration, system, and user acceptance testing.</w:t>
      </w:r>
    </w:p>
    <w:p>
      <w:pPr>
        <w:pStyle w:val="ListBullet"/>
        <w:spacing w:after="60"/>
      </w:pPr>
      <w:r>
        <w:t>Identify useful test cases for student, recruiter, and administrator workflows.</w:t>
      </w:r>
    </w:p>
    <w:p>
      <w:pPr>
        <w:pStyle w:val="ListBullet"/>
        <w:spacing w:after="60"/>
      </w:pPr>
      <w:r>
        <w:t>Recommend testing approaches and tools suitable for a student-level project.</w:t>
      </w:r>
    </w:p>
    <w:p>
      <w:pPr>
        <w:pStyle w:val="ListBullet"/>
        <w:spacing w:after="60"/>
      </w:pPr>
      <w:r>
        <w:t>Describe how defects should be recorded, prioritised, fixed, and checked again.</w:t>
      </w:r>
    </w:p>
    <w:tbl>
      <w:tblPr>
        <w:tblW w:type="auto" w:w="0"/>
        <w:tblLook w:firstColumn="1" w:firstRow="1" w:lastColumn="0" w:lastRow="0" w:noHBand="0" w:noVBand="1" w:val="04A0"/>
      </w:tblPr>
      <w:tblGrid>
        <w:gridCol w:w="9994"/>
      </w:tblGrid>
      <w:tr>
        <w:tc>
          <w:tcPr>
            <w:tcW w:type="dxa" w:w="9994"/>
            <w:shd w:fill="FFF0F5"/>
            <w:tcMar>
              <w:top w:w="140" w:type="dxa"/>
              <w:start w:w="180" w:type="dxa"/>
              <w:bottom w:w="140" w:type="dxa"/>
              <w:end w:w="180" w:type="dxa"/>
            </w:tcMar>
            <w:tcBorders>
              <w:left w:val="single" w:sz="16" w:color="E9367A"/>
              <w:top w:val="single" w:sz="3" w:color="F5C9D8"/>
              <w:bottom w:val="single" w:sz="3" w:color="F5C9D8"/>
              <w:right w:val="single" w:sz="3" w:color="F5C9D8"/>
            </w:tcBorders>
          </w:tcPr>
          <w:p>
            <w:pPr>
              <w:spacing w:after="0"/>
            </w:pPr>
            <w:r>
              <w:rPr>
                <w:b/>
                <w:color w:val="2937A4"/>
                <w:sz w:val="19"/>
              </w:rPr>
              <w:t>Testing does not prove that software has no defects. It provides evidence that the system behaves as expected in the scenarios that have been checked.</w:t>
            </w:r>
          </w:p>
        </w:tc>
      </w:tr>
    </w:tbl>
    <w:p>
      <w:pPr>
        <w:spacing w:after="20"/>
      </w:pPr>
    </w:p>
    <w:p>
      <w:pPr>
        <w:pStyle w:val="Heading1"/>
      </w:pPr>
      <w:r>
        <w:t>2. Testing Lifecycle and Phases</w:t>
      </w:r>
    </w:p>
    <w:p>
      <w:r>
        <w:t>A testing lifecycle gives the team a repeatable way to plan and evaluate quality. The stages below are a suggested workflow for this project. They may overlap in practice, especially when a defect requires a quick retest.</w:t>
      </w:r>
    </w:p>
    <w:tbl>
      <w:tblPr>
        <w:tblW w:type="auto" w:w="0"/>
        <w:jc w:val="center"/>
        <w:tblLook w:firstColumn="1" w:firstRow="1" w:lastColumn="0" w:lastRow="0" w:noHBand="0" w:noVBand="1" w:val="04A0"/>
      </w:tblPr>
      <w:tblGrid>
        <w:gridCol w:w="1666"/>
        <w:gridCol w:w="1666"/>
        <w:gridCol w:w="1666"/>
        <w:gridCol w:w="1666"/>
        <w:gridCol w:w="1666"/>
        <w:gridCol w:w="1666"/>
      </w:tblGrid>
      <w:tr>
        <w:tc>
          <w:tcPr>
            <w:tcW w:type="dxa" w:w="1666"/>
            <w:shd w:fill="FFF0F5"/>
            <w:tcMar>
              <w:top w:w="120" w:type="dxa"/>
              <w:start w:w="65" w:type="dxa"/>
              <w:bottom w:w="120" w:type="dxa"/>
              <w:end w:w="65" w:type="dxa"/>
            </w:tcMar>
            <w:tcBorders>
              <w:top w:val="single" w:sz="5" w:color="E9367A"/>
              <w:bottom w:val="single" w:sz="5" w:color="DDE0EA"/>
              <w:left w:val="single" w:sz="5" w:color="DDE0EA"/>
              <w:right w:val="single" w:sz="5" w:color="DDE0EA"/>
            </w:tcBorders>
          </w:tcPr>
          <w:p>
            <w:pPr>
              <w:jc w:val="center"/>
            </w:pPr>
            <w:r/>
            <w:r>
              <w:rPr>
                <w:b/>
                <w:color w:val="2937A4"/>
                <w:sz w:val="16"/>
              </w:rPr>
              <w:t>Plan</w:t>
            </w:r>
          </w:p>
          <w:p>
            <w:pPr>
              <w:spacing w:after="0"/>
              <w:jc w:val="center"/>
            </w:pPr>
            <w:r>
              <w:rPr>
                <w:color w:val="626879"/>
                <w:sz w:val="14"/>
              </w:rPr>
              <w:t>Scope, risks, roles</w:t>
            </w:r>
          </w:p>
          <w:p>
            <w:pPr>
              <w:spacing w:after="0"/>
              <w:jc w:val="center"/>
            </w:pPr>
            <w:r>
              <w:rPr>
                <w:b/>
                <w:color w:val="E9367A"/>
              </w:rPr>
              <w:t>→</w:t>
            </w:r>
          </w:p>
        </w:tc>
        <w:tc>
          <w:tcPr>
            <w:tcW w:type="dxa" w:w="1666"/>
            <w:shd w:fill="F4F5FB"/>
            <w:tcMar>
              <w:top w:w="120" w:type="dxa"/>
              <w:start w:w="65" w:type="dxa"/>
              <w:bottom w:w="120" w:type="dxa"/>
              <w:end w:w="65" w:type="dxa"/>
            </w:tcMar>
            <w:tcBorders>
              <w:top w:val="single" w:sz="5" w:color="DDE0EA"/>
              <w:bottom w:val="single" w:sz="5" w:color="DDE0EA"/>
              <w:left w:val="single" w:sz="5" w:color="DDE0EA"/>
              <w:right w:val="single" w:sz="5" w:color="DDE0EA"/>
            </w:tcBorders>
          </w:tcPr>
          <w:p>
            <w:pPr>
              <w:jc w:val="center"/>
            </w:pPr>
            <w:r/>
            <w:r>
              <w:rPr>
                <w:b/>
                <w:color w:val="2937A4"/>
                <w:sz w:val="16"/>
              </w:rPr>
              <w:t>Design</w:t>
            </w:r>
          </w:p>
          <w:p>
            <w:pPr>
              <w:spacing w:after="0"/>
              <w:jc w:val="center"/>
            </w:pPr>
            <w:r>
              <w:rPr>
                <w:color w:val="626879"/>
                <w:sz w:val="14"/>
              </w:rPr>
              <w:t>Cases and expected results</w:t>
            </w:r>
          </w:p>
          <w:p>
            <w:pPr>
              <w:spacing w:after="0"/>
              <w:jc w:val="center"/>
            </w:pPr>
            <w:r>
              <w:rPr>
                <w:b/>
                <w:color w:val="E9367A"/>
              </w:rPr>
              <w:t>→</w:t>
            </w:r>
          </w:p>
        </w:tc>
        <w:tc>
          <w:tcPr>
            <w:tcW w:type="dxa" w:w="1666"/>
            <w:shd w:fill="F4F5FB"/>
            <w:tcMar>
              <w:top w:w="120" w:type="dxa"/>
              <w:start w:w="65" w:type="dxa"/>
              <w:bottom w:w="120" w:type="dxa"/>
              <w:end w:w="65" w:type="dxa"/>
            </w:tcMar>
            <w:tcBorders>
              <w:top w:val="single" w:sz="5" w:color="DDE0EA"/>
              <w:bottom w:val="single" w:sz="5" w:color="DDE0EA"/>
              <w:left w:val="single" w:sz="5" w:color="DDE0EA"/>
              <w:right w:val="single" w:sz="5" w:color="DDE0EA"/>
            </w:tcBorders>
          </w:tcPr>
          <w:p>
            <w:pPr>
              <w:jc w:val="center"/>
            </w:pPr>
            <w:r/>
            <w:r>
              <w:rPr>
                <w:b/>
                <w:color w:val="2937A4"/>
                <w:sz w:val="16"/>
              </w:rPr>
              <w:t>Prepare</w:t>
            </w:r>
          </w:p>
          <w:p>
            <w:pPr>
              <w:spacing w:after="0"/>
              <w:jc w:val="center"/>
            </w:pPr>
            <w:r>
              <w:rPr>
                <w:color w:val="626879"/>
                <w:sz w:val="14"/>
              </w:rPr>
              <w:t>Build and test data</w:t>
            </w:r>
          </w:p>
          <w:p>
            <w:pPr>
              <w:spacing w:after="0"/>
              <w:jc w:val="center"/>
            </w:pPr>
            <w:r>
              <w:rPr>
                <w:b/>
                <w:color w:val="E9367A"/>
              </w:rPr>
              <w:t>→</w:t>
            </w:r>
          </w:p>
        </w:tc>
        <w:tc>
          <w:tcPr>
            <w:tcW w:type="dxa" w:w="1666"/>
            <w:shd w:fill="F4F5FB"/>
            <w:tcMar>
              <w:top w:w="120" w:type="dxa"/>
              <w:start w:w="65" w:type="dxa"/>
              <w:bottom w:w="120" w:type="dxa"/>
              <w:end w:w="65" w:type="dxa"/>
            </w:tcMar>
            <w:tcBorders>
              <w:top w:val="single" w:sz="5" w:color="DDE0EA"/>
              <w:bottom w:val="single" w:sz="5" w:color="DDE0EA"/>
              <w:left w:val="single" w:sz="5" w:color="DDE0EA"/>
              <w:right w:val="single" w:sz="5" w:color="DDE0EA"/>
            </w:tcBorders>
          </w:tcPr>
          <w:p>
            <w:pPr>
              <w:jc w:val="center"/>
            </w:pPr>
            <w:r/>
            <w:r>
              <w:rPr>
                <w:b/>
                <w:color w:val="2937A4"/>
                <w:sz w:val="16"/>
              </w:rPr>
              <w:t>Execute</w:t>
            </w:r>
          </w:p>
          <w:p>
            <w:pPr>
              <w:spacing w:after="0"/>
              <w:jc w:val="center"/>
            </w:pPr>
            <w:r>
              <w:rPr>
                <w:color w:val="626879"/>
                <w:sz w:val="14"/>
              </w:rPr>
              <w:t>Run tests and record results</w:t>
            </w:r>
          </w:p>
          <w:p>
            <w:pPr>
              <w:spacing w:after="0"/>
              <w:jc w:val="center"/>
            </w:pPr>
            <w:r>
              <w:rPr>
                <w:b/>
                <w:color w:val="E9367A"/>
              </w:rPr>
              <w:t>→</w:t>
            </w:r>
          </w:p>
        </w:tc>
        <w:tc>
          <w:tcPr>
            <w:tcW w:type="dxa" w:w="1666"/>
            <w:shd w:fill="F4F5FB"/>
            <w:tcMar>
              <w:top w:w="120" w:type="dxa"/>
              <w:start w:w="65" w:type="dxa"/>
              <w:bottom w:w="120" w:type="dxa"/>
              <w:end w:w="65" w:type="dxa"/>
            </w:tcMar>
            <w:tcBorders>
              <w:top w:val="single" w:sz="5" w:color="DDE0EA"/>
              <w:bottom w:val="single" w:sz="5" w:color="DDE0EA"/>
              <w:left w:val="single" w:sz="5" w:color="DDE0EA"/>
              <w:right w:val="single" w:sz="5" w:color="DDE0EA"/>
            </w:tcBorders>
          </w:tcPr>
          <w:p>
            <w:pPr>
              <w:jc w:val="center"/>
            </w:pPr>
            <w:r/>
            <w:r>
              <w:rPr>
                <w:b/>
                <w:color w:val="2937A4"/>
                <w:sz w:val="16"/>
              </w:rPr>
              <w:t>Report</w:t>
            </w:r>
          </w:p>
          <w:p>
            <w:pPr>
              <w:spacing w:after="0"/>
              <w:jc w:val="center"/>
            </w:pPr>
            <w:r>
              <w:rPr>
                <w:color w:val="626879"/>
                <w:sz w:val="14"/>
              </w:rPr>
              <w:t>Log and prioritise defects</w:t>
            </w:r>
          </w:p>
          <w:p>
            <w:pPr>
              <w:spacing w:after="0"/>
              <w:jc w:val="center"/>
            </w:pPr>
            <w:r>
              <w:rPr>
                <w:b/>
                <w:color w:val="E9367A"/>
              </w:rPr>
              <w:t>→</w:t>
            </w:r>
          </w:p>
        </w:tc>
        <w:tc>
          <w:tcPr>
            <w:tcW w:type="dxa" w:w="1666"/>
            <w:shd w:fill="F4F5FB"/>
            <w:tcMar>
              <w:top w:w="120" w:type="dxa"/>
              <w:start w:w="65" w:type="dxa"/>
              <w:bottom w:w="120" w:type="dxa"/>
              <w:end w:w="65" w:type="dxa"/>
            </w:tcMar>
            <w:tcBorders>
              <w:top w:val="single" w:sz="5" w:color="DDE0EA"/>
              <w:bottom w:val="single" w:sz="5" w:color="DDE0EA"/>
              <w:left w:val="single" w:sz="5" w:color="DDE0EA"/>
              <w:right w:val="single" w:sz="5" w:color="DDE0EA"/>
            </w:tcBorders>
          </w:tcPr>
          <w:p>
            <w:pPr>
              <w:jc w:val="center"/>
            </w:pPr>
            <w:r/>
            <w:r>
              <w:rPr>
                <w:b/>
                <w:color w:val="2937A4"/>
                <w:sz w:val="16"/>
              </w:rPr>
              <w:t>Retest</w:t>
            </w:r>
          </w:p>
          <w:p>
            <w:pPr>
              <w:spacing w:after="0"/>
              <w:jc w:val="center"/>
            </w:pPr>
            <w:r>
              <w:rPr>
                <w:color w:val="626879"/>
                <w:sz w:val="14"/>
              </w:rPr>
              <w:t>Verify fixes; regression test</w:t>
            </w:r>
          </w:p>
        </w:tc>
      </w:tr>
    </w:tbl>
    <w:p>
      <w:pPr>
        <w:spacing w:after="140"/>
        <w:jc w:val="center"/>
      </w:pPr>
      <w:r>
        <w:rPr>
          <w:i/>
          <w:color w:val="626879"/>
          <w:sz w:val="16"/>
        </w:rPr>
        <w:t>Figure 1. Proposed testing lifecycle for the Internship &amp; Job Opportunity Management System.</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72"/>
            <w:shd w:fill="2937A4"/>
            <w:tcMar>
              <w:top w:w="90" w:type="dxa"/>
              <w:start w:w="100" w:type="dxa"/>
              <w:bottom w:w="90" w:type="dxa"/>
              <w:end w:w="100" w:type="dxa"/>
            </w:tcMar>
            <w:vAlign w:val="center"/>
            <w:tcBorders>
              <w:top w:val="single" w:sz="4" w:color="DDE0EA"/>
              <w:bottom w:val="single" w:sz="4" w:color="DDE0EA"/>
              <w:left w:val="single" w:sz="4" w:color="DDE0EA"/>
              <w:right w:val="single" w:sz="4" w:color="DDE0EA"/>
            </w:tcBorders>
          </w:tcPr>
          <w:p>
            <w:pPr>
              <w:spacing w:after="0"/>
            </w:pPr>
            <w:r>
              <w:rPr>
                <w:rFonts w:ascii="Aptos" w:hAnsi="Aptos"/>
                <w:b/>
                <w:color w:val="FFFFFF"/>
                <w:sz w:val="17"/>
              </w:rPr>
              <w:t>Phase</w:t>
            </w:r>
          </w:p>
        </w:tc>
        <w:tc>
          <w:tcPr>
            <w:tcW w:type="dxa" w:w="5328"/>
            <w:shd w:fill="2937A4"/>
            <w:tcMar>
              <w:top w:w="90" w:type="dxa"/>
              <w:start w:w="100" w:type="dxa"/>
              <w:bottom w:w="90" w:type="dxa"/>
              <w:end w:w="100" w:type="dxa"/>
            </w:tcMar>
            <w:vAlign w:val="center"/>
            <w:tcBorders>
              <w:top w:val="single" w:sz="4" w:color="DDE0EA"/>
              <w:bottom w:val="single" w:sz="4" w:color="DDE0EA"/>
              <w:left w:val="single" w:sz="4" w:color="DDE0EA"/>
              <w:right w:val="single" w:sz="4" w:color="DDE0EA"/>
            </w:tcBorders>
          </w:tcPr>
          <w:p>
            <w:pPr>
              <w:spacing w:after="0"/>
            </w:pPr>
            <w:r>
              <w:rPr>
                <w:rFonts w:ascii="Aptos" w:hAnsi="Aptos"/>
                <w:b/>
                <w:color w:val="FFFFFF"/>
                <w:sz w:val="17"/>
              </w:rPr>
              <w:t>Main activities</w:t>
            </w:r>
          </w:p>
        </w:tc>
        <w:tc>
          <w:tcPr>
            <w:tcW w:type="dxa" w:w="2592"/>
            <w:shd w:fill="2937A4"/>
            <w:tcMar>
              <w:top w:w="90" w:type="dxa"/>
              <w:start w:w="100" w:type="dxa"/>
              <w:bottom w:w="90" w:type="dxa"/>
              <w:end w:w="100" w:type="dxa"/>
            </w:tcMar>
            <w:vAlign w:val="center"/>
            <w:tcBorders>
              <w:top w:val="single" w:sz="4" w:color="DDE0EA"/>
              <w:bottom w:val="single" w:sz="4" w:color="DDE0EA"/>
              <w:left w:val="single" w:sz="4" w:color="DDE0EA"/>
              <w:right w:val="single" w:sz="4" w:color="DDE0EA"/>
            </w:tcBorders>
          </w:tcPr>
          <w:p>
            <w:pPr>
              <w:spacing w:after="0"/>
            </w:pPr>
            <w:r>
              <w:rPr>
                <w:rFonts w:ascii="Aptos" w:hAnsi="Aptos"/>
                <w:b/>
                <w:color w:val="FFFFFF"/>
                <w:sz w:val="17"/>
              </w:rPr>
              <w:t>Deliverable</w:t>
            </w:r>
          </w:p>
        </w:tc>
      </w:tr>
      <w:tr>
        <w:tc>
          <w:tcPr>
            <w:tcW w:type="dxa" w:w="1872"/>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Test planning</w:t>
            </w:r>
          </w:p>
        </w:tc>
        <w:tc>
          <w:tcPr>
            <w:tcW w:type="dxa" w:w="5328"/>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Define features in scope, risks, schedule, environment, and responsibilities.</w:t>
            </w:r>
          </w:p>
        </w:tc>
        <w:tc>
          <w:tcPr>
            <w:tcW w:type="dxa" w:w="2592"/>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Test plan</w:t>
            </w:r>
          </w:p>
        </w:tc>
      </w:tr>
      <w:tr>
        <w:tc>
          <w:tcPr>
            <w:tcW w:type="dxa" w:w="1872"/>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Test design</w:t>
            </w:r>
          </w:p>
        </w:tc>
        <w:tc>
          <w:tcPr>
            <w:tcW w:type="dxa" w:w="5328"/>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Prepare scenarios, test data, preconditions, steps, and expected outcomes.</w:t>
            </w:r>
          </w:p>
        </w:tc>
        <w:tc>
          <w:tcPr>
            <w:tcW w:type="dxa" w:w="2592"/>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Test cases</w:t>
            </w:r>
          </w:p>
        </w:tc>
      </w:tr>
      <w:tr>
        <w:tc>
          <w:tcPr>
            <w:tcW w:type="dxa" w:w="1872"/>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Environment setup</w:t>
            </w:r>
          </w:p>
        </w:tc>
        <w:tc>
          <w:tcPr>
            <w:tcW w:type="dxa" w:w="5328"/>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Prepare a test build, database, accounts, and sample listings.</w:t>
            </w:r>
          </w:p>
        </w:tc>
        <w:tc>
          <w:tcPr>
            <w:tcW w:type="dxa" w:w="2592"/>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Ready test environment</w:t>
            </w:r>
          </w:p>
        </w:tc>
      </w:tr>
      <w:tr>
        <w:tc>
          <w:tcPr>
            <w:tcW w:type="dxa" w:w="1872"/>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Execution</w:t>
            </w:r>
          </w:p>
        </w:tc>
        <w:tc>
          <w:tcPr>
            <w:tcW w:type="dxa" w:w="5328"/>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Run test cases and mark each as pass, fail, blocked, or not run.</w:t>
            </w:r>
          </w:p>
        </w:tc>
        <w:tc>
          <w:tcPr>
            <w:tcW w:type="dxa" w:w="2592"/>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Execution record</w:t>
            </w:r>
          </w:p>
        </w:tc>
      </w:tr>
      <w:tr>
        <w:tc>
          <w:tcPr>
            <w:tcW w:type="dxa" w:w="1872"/>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Defect management</w:t>
            </w:r>
          </w:p>
        </w:tc>
        <w:tc>
          <w:tcPr>
            <w:tcW w:type="dxa" w:w="5328"/>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Record steps to reproduce, severity, evidence, and owner.</w:t>
            </w:r>
          </w:p>
        </w:tc>
        <w:tc>
          <w:tcPr>
            <w:tcW w:type="dxa" w:w="2592"/>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Defect log</w:t>
            </w:r>
          </w:p>
        </w:tc>
      </w:tr>
      <w:tr>
        <w:tc>
          <w:tcPr>
            <w:tcW w:type="dxa" w:w="1872"/>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Retesting and regression</w:t>
            </w:r>
          </w:p>
        </w:tc>
        <w:tc>
          <w:tcPr>
            <w:tcW w:type="dxa" w:w="5328"/>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Check the fix and rerun related tests to find side effects.</w:t>
            </w:r>
          </w:p>
        </w:tc>
        <w:tc>
          <w:tcPr>
            <w:tcW w:type="dxa" w:w="2592"/>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Updated results</w:t>
            </w:r>
          </w:p>
        </w:tc>
      </w:tr>
      <w:tr>
        <w:tc>
          <w:tcPr>
            <w:tcW w:type="dxa" w:w="1872"/>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Closure</w:t>
            </w:r>
          </w:p>
        </w:tc>
        <w:tc>
          <w:tcPr>
            <w:tcW w:type="dxa" w:w="5328"/>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Summarise coverage, open risks, unresolved defects, and next steps.</w:t>
            </w:r>
          </w:p>
        </w:tc>
        <w:tc>
          <w:tcPr>
            <w:tcW w:type="dxa" w:w="2592"/>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Test summary</w:t>
            </w:r>
          </w:p>
        </w:tc>
      </w:tr>
    </w:tbl>
    <w:p>
      <w:pPr>
        <w:spacing w:after="20"/>
      </w:pPr>
    </w:p>
    <w:p>
      <w:pPr>
        <w:pStyle w:val="Heading1"/>
      </w:pPr>
      <w:r>
        <w:t>3. Testing Types and Methodologies</w:t>
      </w:r>
    </w:p>
    <w:p>
      <w:pPr>
        <w:pStyle w:val="Heading2"/>
      </w:pPr>
      <w:r>
        <w:t>3.1 Testing phases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2937A4"/>
            <w:tcMar>
              <w:top w:w="90" w:type="dxa"/>
              <w:start w:w="100" w:type="dxa"/>
              <w:bottom w:w="90" w:type="dxa"/>
              <w:end w:w="100" w:type="dxa"/>
            </w:tcMar>
            <w:vAlign w:val="center"/>
            <w:tcBorders>
              <w:top w:val="single" w:sz="4" w:color="DDE0EA"/>
              <w:bottom w:val="single" w:sz="4" w:color="DDE0EA"/>
              <w:left w:val="single" w:sz="4" w:color="DDE0EA"/>
              <w:right w:val="single" w:sz="4" w:color="DDE0EA"/>
            </w:tcBorders>
          </w:tcPr>
          <w:p>
            <w:pPr>
              <w:spacing w:after="0"/>
            </w:pPr>
            <w:r>
              <w:rPr>
                <w:rFonts w:ascii="Aptos" w:hAnsi="Aptos"/>
                <w:b/>
                <w:color w:val="FFFFFF"/>
                <w:sz w:val="17"/>
              </w:rPr>
              <w:t>Testing type</w:t>
            </w:r>
          </w:p>
        </w:tc>
        <w:tc>
          <w:tcPr>
            <w:tcW w:type="dxa" w:w="3816"/>
            <w:shd w:fill="2937A4"/>
            <w:tcMar>
              <w:top w:w="90" w:type="dxa"/>
              <w:start w:w="100" w:type="dxa"/>
              <w:bottom w:w="90" w:type="dxa"/>
              <w:end w:w="100" w:type="dxa"/>
            </w:tcMar>
            <w:vAlign w:val="center"/>
            <w:tcBorders>
              <w:top w:val="single" w:sz="4" w:color="DDE0EA"/>
              <w:bottom w:val="single" w:sz="4" w:color="DDE0EA"/>
              <w:left w:val="single" w:sz="4" w:color="DDE0EA"/>
              <w:right w:val="single" w:sz="4" w:color="DDE0EA"/>
            </w:tcBorders>
          </w:tcPr>
          <w:p>
            <w:pPr>
              <w:spacing w:after="0"/>
            </w:pPr>
            <w:r>
              <w:rPr>
                <w:rFonts w:ascii="Aptos" w:hAnsi="Aptos"/>
                <w:b/>
                <w:color w:val="FFFFFF"/>
                <w:sz w:val="17"/>
              </w:rPr>
              <w:t>What it checks</w:t>
            </w:r>
          </w:p>
        </w:tc>
        <w:tc>
          <w:tcPr>
            <w:tcW w:type="dxa" w:w="3888"/>
            <w:shd w:fill="2937A4"/>
            <w:tcMar>
              <w:top w:w="90" w:type="dxa"/>
              <w:start w:w="100" w:type="dxa"/>
              <w:bottom w:w="90" w:type="dxa"/>
              <w:end w:w="100" w:type="dxa"/>
            </w:tcMar>
            <w:vAlign w:val="center"/>
            <w:tcBorders>
              <w:top w:val="single" w:sz="4" w:color="DDE0EA"/>
              <w:bottom w:val="single" w:sz="4" w:color="DDE0EA"/>
              <w:left w:val="single" w:sz="4" w:color="DDE0EA"/>
              <w:right w:val="single" w:sz="4" w:color="DDE0EA"/>
            </w:tcBorders>
          </w:tcPr>
          <w:p>
            <w:pPr>
              <w:spacing w:after="0"/>
            </w:pPr>
            <w:r>
              <w:rPr>
                <w:rFonts w:ascii="Aptos" w:hAnsi="Aptos"/>
                <w:b/>
                <w:color w:val="FFFFFF"/>
                <w:sz w:val="17"/>
              </w:rPr>
              <w:t>Example in this project</w:t>
            </w:r>
          </w:p>
        </w:tc>
      </w:tr>
      <w:tr>
        <w:tc>
          <w:tcPr>
            <w:tcW w:type="dxa" w:w="2088"/>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Unit testing</w:t>
            </w:r>
          </w:p>
        </w:tc>
        <w:tc>
          <w:tcPr>
            <w:tcW w:type="dxa" w:w="3816"/>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A small function or class in isolation.</w:t>
            </w:r>
          </w:p>
        </w:tc>
        <w:tc>
          <w:tcPr>
            <w:tcW w:type="dxa" w:w="3888"/>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Check a method that validates an application deadline.</w:t>
            </w:r>
          </w:p>
        </w:tc>
      </w:tr>
      <w:tr>
        <w:tc>
          <w:tcPr>
            <w:tcW w:type="dxa" w:w="2088"/>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Integration testing</w:t>
            </w:r>
          </w:p>
        </w:tc>
        <w:tc>
          <w:tcPr>
            <w:tcW w:type="dxa" w:w="3816"/>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Whether connected modules exchange data correctly.</w:t>
            </w:r>
          </w:p>
        </w:tc>
        <w:tc>
          <w:tcPr>
            <w:tcW w:type="dxa" w:w="3888"/>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Check that submitting an application saves it in MySQL.</w:t>
            </w:r>
          </w:p>
        </w:tc>
      </w:tr>
      <w:tr>
        <w:tc>
          <w:tcPr>
            <w:tcW w:type="dxa" w:w="2088"/>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System testing</w:t>
            </w:r>
          </w:p>
        </w:tc>
        <w:tc>
          <w:tcPr>
            <w:tcW w:type="dxa" w:w="3816"/>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The complete application against requirements.</w:t>
            </w:r>
          </w:p>
        </w:tc>
        <w:tc>
          <w:tcPr>
            <w:tcW w:type="dxa" w:w="3888"/>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Check login through application submission and status display.</w:t>
            </w:r>
          </w:p>
        </w:tc>
      </w:tr>
      <w:tr>
        <w:tc>
          <w:tcPr>
            <w:tcW w:type="dxa" w:w="2088"/>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User acceptance testing (UAT)</w:t>
            </w:r>
          </w:p>
        </w:tc>
        <w:tc>
          <w:tcPr>
            <w:tcW w:type="dxa" w:w="3816"/>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Whether the system supports real user needs.</w:t>
            </w:r>
          </w:p>
        </w:tc>
        <w:tc>
          <w:tcPr>
            <w:tcW w:type="dxa" w:w="3888"/>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Ask a student to find a role and submit an application using a test account.</w:t>
            </w:r>
          </w:p>
        </w:tc>
      </w:tr>
    </w:tbl>
    <w:p>
      <w:pPr>
        <w:spacing w:after="20"/>
      </w:pPr>
    </w:p>
    <w:p>
      <w:r>
        <w:t>These levels complement one another. Unit tests can locate logic problems early, integration tests can reveal issues between modules, system tests examine end-to-end behaviour, and UAT checks whether the workflows make sense to intended users.</w:t>
      </w:r>
    </w:p>
    <w:p>
      <w:pPr>
        <w:pStyle w:val="Heading2"/>
      </w:pPr>
      <w:r>
        <w:t>3.2 Functional and non-functional testing</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2937A4"/>
            <w:tcMar>
              <w:top w:w="90" w:type="dxa"/>
              <w:start w:w="100" w:type="dxa"/>
              <w:bottom w:w="90" w:type="dxa"/>
              <w:end w:w="100" w:type="dxa"/>
            </w:tcMar>
            <w:vAlign w:val="center"/>
            <w:tcBorders>
              <w:top w:val="single" w:sz="4" w:color="DDE0EA"/>
              <w:bottom w:val="single" w:sz="4" w:color="DDE0EA"/>
              <w:left w:val="single" w:sz="4" w:color="DDE0EA"/>
              <w:right w:val="single" w:sz="4" w:color="DDE0EA"/>
            </w:tcBorders>
          </w:tcPr>
          <w:p>
            <w:pPr>
              <w:spacing w:after="0"/>
            </w:pPr>
            <w:r>
              <w:rPr>
                <w:rFonts w:ascii="Aptos" w:hAnsi="Aptos"/>
                <w:b/>
                <w:color w:val="FFFFFF"/>
                <w:sz w:val="17"/>
              </w:rPr>
              <w:t>Category</w:t>
            </w:r>
          </w:p>
        </w:tc>
        <w:tc>
          <w:tcPr>
            <w:tcW w:type="dxa" w:w="3600"/>
            <w:shd w:fill="2937A4"/>
            <w:tcMar>
              <w:top w:w="90" w:type="dxa"/>
              <w:start w:w="100" w:type="dxa"/>
              <w:bottom w:w="90" w:type="dxa"/>
              <w:end w:w="100" w:type="dxa"/>
            </w:tcMar>
            <w:vAlign w:val="center"/>
            <w:tcBorders>
              <w:top w:val="single" w:sz="4" w:color="DDE0EA"/>
              <w:bottom w:val="single" w:sz="4" w:color="DDE0EA"/>
              <w:left w:val="single" w:sz="4" w:color="DDE0EA"/>
              <w:right w:val="single" w:sz="4" w:color="DDE0EA"/>
            </w:tcBorders>
          </w:tcPr>
          <w:p>
            <w:pPr>
              <w:spacing w:after="0"/>
            </w:pPr>
            <w:r>
              <w:rPr>
                <w:rFonts w:ascii="Aptos" w:hAnsi="Aptos"/>
                <w:b/>
                <w:color w:val="FFFFFF"/>
                <w:sz w:val="17"/>
              </w:rPr>
              <w:t>Focus</w:t>
            </w:r>
          </w:p>
        </w:tc>
        <w:tc>
          <w:tcPr>
            <w:tcW w:type="dxa" w:w="4104"/>
            <w:shd w:fill="2937A4"/>
            <w:tcMar>
              <w:top w:w="90" w:type="dxa"/>
              <w:start w:w="100" w:type="dxa"/>
              <w:bottom w:w="90" w:type="dxa"/>
              <w:end w:w="100" w:type="dxa"/>
            </w:tcMar>
            <w:vAlign w:val="center"/>
            <w:tcBorders>
              <w:top w:val="single" w:sz="4" w:color="DDE0EA"/>
              <w:bottom w:val="single" w:sz="4" w:color="DDE0EA"/>
              <w:left w:val="single" w:sz="4" w:color="DDE0EA"/>
              <w:right w:val="single" w:sz="4" w:color="DDE0EA"/>
            </w:tcBorders>
          </w:tcPr>
          <w:p>
            <w:pPr>
              <w:spacing w:after="0"/>
            </w:pPr>
            <w:r>
              <w:rPr>
                <w:rFonts w:ascii="Aptos" w:hAnsi="Aptos"/>
                <w:b/>
                <w:color w:val="FFFFFF"/>
                <w:sz w:val="17"/>
              </w:rPr>
              <w:t>Possible checks</w:t>
            </w:r>
          </w:p>
        </w:tc>
      </w:tr>
      <w:tr>
        <w:tc>
          <w:tcPr>
            <w:tcW w:type="dxa" w:w="2088"/>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Functional</w:t>
            </w:r>
          </w:p>
        </w:tc>
        <w:tc>
          <w:tcPr>
            <w:tcW w:type="dxa" w:w="3600"/>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Whether features behave as specified.</w:t>
            </w:r>
          </w:p>
        </w:tc>
        <w:tc>
          <w:tcPr>
            <w:tcW w:type="dxa" w:w="4104"/>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Login, search, apply, status update, logout.</w:t>
            </w:r>
          </w:p>
        </w:tc>
      </w:tr>
      <w:tr>
        <w:tc>
          <w:tcPr>
            <w:tcW w:type="dxa" w:w="2088"/>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Validation and negative tests</w:t>
            </w:r>
          </w:p>
        </w:tc>
        <w:tc>
          <w:tcPr>
            <w:tcW w:type="dxa" w:w="3600"/>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Whether invalid or disallowed inputs are handled safely.</w:t>
            </w:r>
          </w:p>
        </w:tc>
        <w:tc>
          <w:tcPr>
            <w:tcW w:type="dxa" w:w="4104"/>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Empty fields, invalid email, expired listing, duplicate application.</w:t>
            </w:r>
          </w:p>
        </w:tc>
      </w:tr>
      <w:tr>
        <w:tc>
          <w:tcPr>
            <w:tcW w:type="dxa" w:w="2088"/>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Security</w:t>
            </w:r>
          </w:p>
        </w:tc>
        <w:tc>
          <w:tcPr>
            <w:tcW w:type="dxa" w:w="3600"/>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Whether access and data are appropriately protected.</w:t>
            </w:r>
          </w:p>
        </w:tc>
        <w:tc>
          <w:tcPr>
            <w:tcW w:type="dxa" w:w="4104"/>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Student cannot access recruiter-only actions; passwords are not displayed.</w:t>
            </w:r>
          </w:p>
        </w:tc>
      </w:tr>
      <w:tr>
        <w:tc>
          <w:tcPr>
            <w:tcW w:type="dxa" w:w="2088"/>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Usability and accessibility</w:t>
            </w:r>
          </w:p>
        </w:tc>
        <w:tc>
          <w:tcPr>
            <w:tcW w:type="dxa" w:w="3600"/>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Whether the interface is understandable and usable.</w:t>
            </w:r>
          </w:p>
        </w:tc>
        <w:tc>
          <w:tcPr>
            <w:tcW w:type="dxa" w:w="4104"/>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Clear error messages, labels, keyboard navigation, readable contrast.</w:t>
            </w:r>
          </w:p>
        </w:tc>
      </w:tr>
      <w:tr>
        <w:tc>
          <w:tcPr>
            <w:tcW w:type="dxa" w:w="2088"/>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Performance</w:t>
            </w:r>
          </w:p>
        </w:tc>
        <w:tc>
          <w:tcPr>
            <w:tcW w:type="dxa" w:w="3600"/>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Whether response times remain acceptable under expected use.</w:t>
            </w:r>
          </w:p>
        </w:tc>
        <w:tc>
          <w:tcPr>
            <w:tcW w:type="dxa" w:w="4104"/>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Search a list of opportunities with a representative test dataset.</w:t>
            </w:r>
          </w:p>
        </w:tc>
      </w:tr>
      <w:tr>
        <w:tc>
          <w:tcPr>
            <w:tcW w:type="dxa" w:w="2088"/>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Compatibility</w:t>
            </w:r>
          </w:p>
        </w:tc>
        <w:tc>
          <w:tcPr>
            <w:tcW w:type="dxa" w:w="3600"/>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Whether key flows work in supported browsers and screen sizes.</w:t>
            </w:r>
          </w:p>
        </w:tc>
        <w:tc>
          <w:tcPr>
            <w:tcW w:type="dxa" w:w="4104"/>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Test main pages in selected desktop and mobile browsers.</w:t>
            </w:r>
          </w:p>
        </w:tc>
      </w:tr>
    </w:tbl>
    <w:p>
      <w:pPr>
        <w:spacing w:after="20"/>
      </w:pPr>
    </w:p>
    <w:p>
      <w:pPr>
        <w:pStyle w:val="Heading2"/>
      </w:pPr>
      <w:r>
        <w:t>3.3 Methodologies: TDD and BDD</w:t>
      </w:r>
    </w:p>
    <w:p>
      <w:r>
        <w:t>Test-Driven Development (TDD) is a development approach in which a developer writes a small failing test before implementing the behaviour, then writes code to pass it and refactors if needed. Behaviour-Driven Development (BDD) describes expected behaviour in a shared, scenario-based format that developers and non-technical stakeholders can understand.</w:t>
      </w:r>
    </w:p>
    <w:tbl>
      <w:tblPr>
        <w:tblW w:type="auto" w:w="0"/>
        <w:tblLook w:firstColumn="1" w:firstRow="1" w:lastColumn="0" w:lastRow="0" w:noHBand="0" w:noVBand="1" w:val="04A0"/>
      </w:tblPr>
      <w:tblGrid>
        <w:gridCol w:w="9994"/>
      </w:tblGrid>
      <w:tr>
        <w:tc>
          <w:tcPr>
            <w:tcW w:type="dxa" w:w="9994"/>
            <w:shd w:fill="F4F5FB"/>
            <w:tcMar>
              <w:top w:w="130" w:type="dxa"/>
              <w:start w:w="150" w:type="dxa"/>
              <w:bottom w:w="130" w:type="dxa"/>
              <w:end w:w="150" w:type="dxa"/>
            </w:tcMar>
            <w:tcBorders>
              <w:top w:val="single" w:sz="4" w:color="DDE0EA"/>
              <w:bottom w:val="single" w:sz="4" w:color="DDE0EA"/>
              <w:left w:val="single" w:sz="12" w:color="E9367A"/>
              <w:right w:val="single" w:sz="4" w:color="DDE0EA"/>
            </w:tcBorders>
          </w:tcPr>
          <w:p>
            <w:pPr>
              <w:pStyle w:val="CodeBlock"/>
            </w:pPr>
            <w:r/>
            <w:r>
              <w:t>Example BDD scenario — duplicate application</w:t>
            </w:r>
          </w:p>
          <w:p>
            <w:pPr>
              <w:pStyle w:val="CodeBlock"/>
            </w:pPr>
            <w:r/>
          </w:p>
          <w:p>
            <w:pPr>
              <w:pStyle w:val="CodeBlock"/>
            </w:pPr>
            <w:r>
              <w:t>Given a student has already applied for an opportunity</w:t>
            </w:r>
          </w:p>
          <w:p>
            <w:pPr>
              <w:pStyle w:val="CodeBlock"/>
            </w:pPr>
            <w:r>
              <w:t>When the student tries to apply for the same opportunity again</w:t>
            </w:r>
          </w:p>
          <w:p>
            <w:pPr>
              <w:pStyle w:val="CodeBlock"/>
            </w:pPr>
            <w:r>
              <w:t>Then the system should prevent a duplicate application</w:t>
            </w:r>
          </w:p>
          <w:p>
            <w:pPr>
              <w:pStyle w:val="CodeBlock"/>
            </w:pPr>
            <w:r>
              <w:t>And display a clear explanation</w:t>
            </w:r>
          </w:p>
        </w:tc>
      </w:tr>
    </w:tbl>
    <w:p>
      <w:pPr>
        <w:spacing w:after="20"/>
      </w:pPr>
    </w:p>
    <w:p>
      <w:r>
        <w:t>For a student project, I would start with clear test cases and a few unit tests for important rules. TDD or BDD can be introduced gradually if they fit the team's workflow; the report does not assume either methodology is already in use.</w:t>
      </w:r>
    </w:p>
    <w:p>
      <w:pPr>
        <w:pStyle w:val="Heading1"/>
      </w:pPr>
      <w:r>
        <w:t>4. Project-Specific Test Scenarios and Cases</w:t>
      </w:r>
    </w:p>
    <w:p>
      <w:r>
        <w:t>The following test cases are examples based on the planned project features. They should be updated after the final requirements and interface are confirmed. The expected results describe intended behaviour, not results already observed.</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2937A4"/>
            <w:tcMar>
              <w:top w:w="90" w:type="dxa"/>
              <w:start w:w="100" w:type="dxa"/>
              <w:bottom w:w="90" w:type="dxa"/>
              <w:end w:w="100" w:type="dxa"/>
            </w:tcMar>
            <w:vAlign w:val="center"/>
            <w:tcBorders>
              <w:top w:val="single" w:sz="4" w:color="DDE0EA"/>
              <w:bottom w:val="single" w:sz="4" w:color="DDE0EA"/>
              <w:left w:val="single" w:sz="4" w:color="DDE0EA"/>
              <w:right w:val="single" w:sz="4" w:color="DDE0EA"/>
            </w:tcBorders>
          </w:tcPr>
          <w:p>
            <w:pPr>
              <w:spacing w:after="0"/>
            </w:pPr>
            <w:r>
              <w:rPr>
                <w:rFonts w:ascii="Aptos" w:hAnsi="Aptos"/>
                <w:b/>
                <w:color w:val="FFFFFF"/>
                <w:sz w:val="17"/>
              </w:rPr>
              <w:t>ID</w:t>
            </w:r>
          </w:p>
        </w:tc>
        <w:tc>
          <w:tcPr>
            <w:tcW w:type="dxa" w:w="3816"/>
            <w:shd w:fill="2937A4"/>
            <w:tcMar>
              <w:top w:w="90" w:type="dxa"/>
              <w:start w:w="100" w:type="dxa"/>
              <w:bottom w:w="90" w:type="dxa"/>
              <w:end w:w="100" w:type="dxa"/>
            </w:tcMar>
            <w:vAlign w:val="center"/>
            <w:tcBorders>
              <w:top w:val="single" w:sz="4" w:color="DDE0EA"/>
              <w:bottom w:val="single" w:sz="4" w:color="DDE0EA"/>
              <w:left w:val="single" w:sz="4" w:color="DDE0EA"/>
              <w:right w:val="single" w:sz="4" w:color="DDE0EA"/>
            </w:tcBorders>
          </w:tcPr>
          <w:p>
            <w:pPr>
              <w:spacing w:after="0"/>
            </w:pPr>
            <w:r>
              <w:rPr>
                <w:rFonts w:ascii="Aptos" w:hAnsi="Aptos"/>
                <w:b/>
                <w:color w:val="FFFFFF"/>
                <w:sz w:val="17"/>
              </w:rPr>
              <w:t>Scenario / steps</w:t>
            </w:r>
          </w:p>
        </w:tc>
        <w:tc>
          <w:tcPr>
            <w:tcW w:type="dxa" w:w="4104"/>
            <w:shd w:fill="2937A4"/>
            <w:tcMar>
              <w:top w:w="90" w:type="dxa"/>
              <w:start w:w="100" w:type="dxa"/>
              <w:bottom w:w="90" w:type="dxa"/>
              <w:end w:w="100" w:type="dxa"/>
            </w:tcMar>
            <w:vAlign w:val="center"/>
            <w:tcBorders>
              <w:top w:val="single" w:sz="4" w:color="DDE0EA"/>
              <w:bottom w:val="single" w:sz="4" w:color="DDE0EA"/>
              <w:left w:val="single" w:sz="4" w:color="DDE0EA"/>
              <w:right w:val="single" w:sz="4" w:color="DDE0EA"/>
            </w:tcBorders>
          </w:tcPr>
          <w:p>
            <w:pPr>
              <w:spacing w:after="0"/>
            </w:pPr>
            <w:r>
              <w:rPr>
                <w:rFonts w:ascii="Aptos" w:hAnsi="Aptos"/>
                <w:b/>
                <w:color w:val="FFFFFF"/>
                <w:sz w:val="17"/>
              </w:rPr>
              <w:t>Expected result</w:t>
            </w:r>
          </w:p>
        </w:tc>
        <w:tc>
          <w:tcPr>
            <w:tcW w:type="dxa" w:w="1080"/>
            <w:shd w:fill="2937A4"/>
            <w:tcMar>
              <w:top w:w="90" w:type="dxa"/>
              <w:start w:w="100" w:type="dxa"/>
              <w:bottom w:w="90" w:type="dxa"/>
              <w:end w:w="100" w:type="dxa"/>
            </w:tcMar>
            <w:vAlign w:val="center"/>
            <w:tcBorders>
              <w:top w:val="single" w:sz="4" w:color="DDE0EA"/>
              <w:bottom w:val="single" w:sz="4" w:color="DDE0EA"/>
              <w:left w:val="single" w:sz="4" w:color="DDE0EA"/>
              <w:right w:val="single" w:sz="4" w:color="DDE0EA"/>
            </w:tcBorders>
          </w:tcPr>
          <w:p>
            <w:pPr>
              <w:spacing w:after="0"/>
            </w:pPr>
            <w:r>
              <w:rPr>
                <w:rFonts w:ascii="Aptos" w:hAnsi="Aptos"/>
                <w:b/>
                <w:color w:val="FFFFFF"/>
                <w:sz w:val="17"/>
              </w:rPr>
              <w:t>Priority</w:t>
            </w:r>
          </w:p>
        </w:tc>
      </w:tr>
      <w:tr>
        <w:tc>
          <w:tcPr>
            <w:tcW w:type="dxa" w:w="792"/>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TC-01</w:t>
            </w:r>
          </w:p>
        </w:tc>
        <w:tc>
          <w:tcPr>
            <w:tcW w:type="dxa" w:w="3816"/>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Register with valid required details.</w:t>
            </w:r>
          </w:p>
        </w:tc>
        <w:tc>
          <w:tcPr>
            <w:tcW w:type="dxa" w:w="4104"/>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Account is created and a suitable confirmation is shown.</w:t>
            </w:r>
          </w:p>
        </w:tc>
        <w:tc>
          <w:tcPr>
            <w:tcW w:type="dxa" w:w="1080"/>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High</w:t>
            </w:r>
          </w:p>
        </w:tc>
      </w:tr>
      <w:tr>
        <w:tc>
          <w:tcPr>
            <w:tcW w:type="dxa" w:w="792"/>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TC-02</w:t>
            </w:r>
          </w:p>
        </w:tc>
        <w:tc>
          <w:tcPr>
            <w:tcW w:type="dxa" w:w="3816"/>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Log in with an incorrect password.</w:t>
            </w:r>
          </w:p>
        </w:tc>
        <w:tc>
          <w:tcPr>
            <w:tcW w:type="dxa" w:w="4104"/>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Login is rejected without revealing sensitive details.</w:t>
            </w:r>
          </w:p>
        </w:tc>
        <w:tc>
          <w:tcPr>
            <w:tcW w:type="dxa" w:w="1080"/>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High</w:t>
            </w:r>
          </w:p>
        </w:tc>
      </w:tr>
      <w:tr>
        <w:tc>
          <w:tcPr>
            <w:tcW w:type="dxa" w:w="792"/>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TC-03</w:t>
            </w:r>
          </w:p>
        </w:tc>
        <w:tc>
          <w:tcPr>
            <w:tcW w:type="dxa" w:w="3816"/>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Search using a role keyword or location filter.</w:t>
            </w:r>
          </w:p>
        </w:tc>
        <w:tc>
          <w:tcPr>
            <w:tcW w:type="dxa" w:w="4104"/>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Only matching active opportunities are shown.</w:t>
            </w:r>
          </w:p>
        </w:tc>
        <w:tc>
          <w:tcPr>
            <w:tcW w:type="dxa" w:w="1080"/>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Medium</w:t>
            </w:r>
          </w:p>
        </w:tc>
      </w:tr>
      <w:tr>
        <w:tc>
          <w:tcPr>
            <w:tcW w:type="dxa" w:w="792"/>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TC-04</w:t>
            </w:r>
          </w:p>
        </w:tc>
        <w:tc>
          <w:tcPr>
            <w:tcW w:type="dxa" w:w="3816"/>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Open an expired opportunity and try to apply.</w:t>
            </w:r>
          </w:p>
        </w:tc>
        <w:tc>
          <w:tcPr>
            <w:tcW w:type="dxa" w:w="4104"/>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Application is blocked with a clear message.</w:t>
            </w:r>
          </w:p>
        </w:tc>
        <w:tc>
          <w:tcPr>
            <w:tcW w:type="dxa" w:w="1080"/>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High</w:t>
            </w:r>
          </w:p>
        </w:tc>
      </w:tr>
      <w:tr>
        <w:tc>
          <w:tcPr>
            <w:tcW w:type="dxa" w:w="792"/>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TC-05</w:t>
            </w:r>
          </w:p>
        </w:tc>
        <w:tc>
          <w:tcPr>
            <w:tcW w:type="dxa" w:w="3816"/>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Apply to an open opportunity for the first time.</w:t>
            </w:r>
          </w:p>
        </w:tc>
        <w:tc>
          <w:tcPr>
            <w:tcW w:type="dxa" w:w="4104"/>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Application is stored and status begins as Applied.</w:t>
            </w:r>
          </w:p>
        </w:tc>
        <w:tc>
          <w:tcPr>
            <w:tcW w:type="dxa" w:w="1080"/>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High</w:t>
            </w:r>
          </w:p>
        </w:tc>
      </w:tr>
      <w:tr>
        <w:tc>
          <w:tcPr>
            <w:tcW w:type="dxa" w:w="792"/>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TC-06</w:t>
            </w:r>
          </w:p>
        </w:tc>
        <w:tc>
          <w:tcPr>
            <w:tcW w:type="dxa" w:w="3816"/>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Submit a second application to the same opportunity.</w:t>
            </w:r>
          </w:p>
        </w:tc>
        <w:tc>
          <w:tcPr>
            <w:tcW w:type="dxa" w:w="4104"/>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Duplicate is prevented and explained.</w:t>
            </w:r>
          </w:p>
        </w:tc>
        <w:tc>
          <w:tcPr>
            <w:tcW w:type="dxa" w:w="1080"/>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High</w:t>
            </w:r>
          </w:p>
        </w:tc>
      </w:tr>
      <w:tr>
        <w:tc>
          <w:tcPr>
            <w:tcW w:type="dxa" w:w="792"/>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TC-07</w:t>
            </w:r>
          </w:p>
        </w:tc>
        <w:tc>
          <w:tcPr>
            <w:tcW w:type="dxa" w:w="3816"/>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Recruiter updates an application status.</w:t>
            </w:r>
          </w:p>
        </w:tc>
        <w:tc>
          <w:tcPr>
            <w:tcW w:type="dxa" w:w="4104"/>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Only an authorised recruiter can make the permitted change.</w:t>
            </w:r>
          </w:p>
        </w:tc>
        <w:tc>
          <w:tcPr>
            <w:tcW w:type="dxa" w:w="1080"/>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High</w:t>
            </w:r>
          </w:p>
        </w:tc>
      </w:tr>
      <w:tr>
        <w:tc>
          <w:tcPr>
            <w:tcW w:type="dxa" w:w="792"/>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TC-08</w:t>
            </w:r>
          </w:p>
        </w:tc>
        <w:tc>
          <w:tcPr>
            <w:tcW w:type="dxa" w:w="3816"/>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Student attempts to open an admin-only page.</w:t>
            </w:r>
          </w:p>
        </w:tc>
        <w:tc>
          <w:tcPr>
            <w:tcW w:type="dxa" w:w="4104"/>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Access is denied or the user is redirected safely.</w:t>
            </w:r>
          </w:p>
        </w:tc>
        <w:tc>
          <w:tcPr>
            <w:tcW w:type="dxa" w:w="1080"/>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High</w:t>
            </w:r>
          </w:p>
        </w:tc>
      </w:tr>
      <w:tr>
        <w:tc>
          <w:tcPr>
            <w:tcW w:type="dxa" w:w="792"/>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TC-09</w:t>
            </w:r>
          </w:p>
        </w:tc>
        <w:tc>
          <w:tcPr>
            <w:tcW w:type="dxa" w:w="3816"/>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Submit a form with required fields missing.</w:t>
            </w:r>
          </w:p>
        </w:tc>
        <w:tc>
          <w:tcPr>
            <w:tcW w:type="dxa" w:w="4104"/>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Validation identifies the missing information.</w:t>
            </w:r>
          </w:p>
        </w:tc>
        <w:tc>
          <w:tcPr>
            <w:tcW w:type="dxa" w:w="1080"/>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Medium</w:t>
            </w:r>
          </w:p>
        </w:tc>
      </w:tr>
      <w:tr>
        <w:tc>
          <w:tcPr>
            <w:tcW w:type="dxa" w:w="792"/>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TC-10</w:t>
            </w:r>
          </w:p>
        </w:tc>
        <w:tc>
          <w:tcPr>
            <w:tcW w:type="dxa" w:w="3816"/>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Sign out and revisit a protected page.</w:t>
            </w:r>
          </w:p>
        </w:tc>
        <w:tc>
          <w:tcPr>
            <w:tcW w:type="dxa" w:w="4104"/>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The user must authenticate again.</w:t>
            </w:r>
          </w:p>
        </w:tc>
        <w:tc>
          <w:tcPr>
            <w:tcW w:type="dxa" w:w="1080"/>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High</w:t>
            </w:r>
          </w:p>
        </w:tc>
      </w:tr>
    </w:tbl>
    <w:p>
      <w:pPr>
        <w:spacing w:after="20"/>
      </w:pPr>
    </w:p>
    <w:p>
      <w:pPr>
        <w:pStyle w:val="Heading2"/>
      </w:pPr>
      <w:r>
        <w:t>4.1 Example detailed test case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88"/>
            <w:shd w:fill="2937A4"/>
            <w:tcMar>
              <w:top w:w="90" w:type="dxa"/>
              <w:start w:w="100" w:type="dxa"/>
              <w:bottom w:w="90" w:type="dxa"/>
              <w:end w:w="100" w:type="dxa"/>
            </w:tcMar>
            <w:vAlign w:val="center"/>
            <w:tcBorders>
              <w:top w:val="single" w:sz="4" w:color="DDE0EA"/>
              <w:bottom w:val="single" w:sz="4" w:color="DDE0EA"/>
              <w:left w:val="single" w:sz="4" w:color="DDE0EA"/>
              <w:right w:val="single" w:sz="4" w:color="DDE0EA"/>
            </w:tcBorders>
          </w:tcPr>
          <w:p>
            <w:pPr>
              <w:spacing w:after="0"/>
            </w:pPr>
            <w:r>
              <w:rPr>
                <w:rFonts w:ascii="Aptos" w:hAnsi="Aptos"/>
                <w:b/>
                <w:color w:val="FFFFFF"/>
                <w:sz w:val="17"/>
              </w:rPr>
              <w:t>Field</w:t>
            </w:r>
          </w:p>
        </w:tc>
        <w:tc>
          <w:tcPr>
            <w:tcW w:type="dxa" w:w="7704"/>
            <w:shd w:fill="2937A4"/>
            <w:tcMar>
              <w:top w:w="90" w:type="dxa"/>
              <w:start w:w="100" w:type="dxa"/>
              <w:bottom w:w="90" w:type="dxa"/>
              <w:end w:w="100" w:type="dxa"/>
            </w:tcMar>
            <w:vAlign w:val="center"/>
            <w:tcBorders>
              <w:top w:val="single" w:sz="4" w:color="DDE0EA"/>
              <w:bottom w:val="single" w:sz="4" w:color="DDE0EA"/>
              <w:left w:val="single" w:sz="4" w:color="DDE0EA"/>
              <w:right w:val="single" w:sz="4" w:color="DDE0EA"/>
            </w:tcBorders>
          </w:tcPr>
          <w:p>
            <w:pPr>
              <w:spacing w:after="0"/>
            </w:pPr>
            <w:r>
              <w:rPr>
                <w:rFonts w:ascii="Aptos" w:hAnsi="Aptos"/>
                <w:b/>
                <w:color w:val="FFFFFF"/>
                <w:sz w:val="17"/>
              </w:rPr>
              <w:t>Details</w:t>
            </w:r>
          </w:p>
        </w:tc>
      </w:tr>
      <w:tr>
        <w:tc>
          <w:tcPr>
            <w:tcW w:type="dxa" w:w="2088"/>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Test Case ID</w:t>
            </w:r>
          </w:p>
        </w:tc>
        <w:tc>
          <w:tcPr>
            <w:tcW w:type="dxa" w:w="7704"/>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TC-06 — Prevent duplicate applications</w:t>
            </w:r>
          </w:p>
        </w:tc>
      </w:tr>
      <w:tr>
        <w:tc>
          <w:tcPr>
            <w:tcW w:type="dxa" w:w="2088"/>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Precondition</w:t>
            </w:r>
          </w:p>
        </w:tc>
        <w:tc>
          <w:tcPr>
            <w:tcW w:type="dxa" w:w="7704"/>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A student test account has already applied to an open opportunity.</w:t>
            </w:r>
          </w:p>
        </w:tc>
      </w:tr>
      <w:tr>
        <w:tc>
          <w:tcPr>
            <w:tcW w:type="dxa" w:w="2088"/>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Test data</w:t>
            </w:r>
          </w:p>
        </w:tc>
        <w:tc>
          <w:tcPr>
            <w:tcW w:type="dxa" w:w="7704"/>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The same student ID and opportunity ID used for the existing application.</w:t>
            </w:r>
          </w:p>
        </w:tc>
      </w:tr>
      <w:tr>
        <w:tc>
          <w:tcPr>
            <w:tcW w:type="dxa" w:w="2088"/>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Steps</w:t>
            </w:r>
          </w:p>
        </w:tc>
        <w:tc>
          <w:tcPr>
            <w:tcW w:type="dxa" w:w="7704"/>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1. Sign in as the student. 2. Open the same opportunity. 3. Select Apply again.</w:t>
            </w:r>
          </w:p>
        </w:tc>
      </w:tr>
      <w:tr>
        <w:tc>
          <w:tcPr>
            <w:tcW w:type="dxa" w:w="2088"/>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Expected result</w:t>
            </w:r>
          </w:p>
        </w:tc>
        <w:tc>
          <w:tcPr>
            <w:tcW w:type="dxa" w:w="7704"/>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The second application is not saved, and a clear message explains that an application already exists.</w:t>
            </w:r>
          </w:p>
        </w:tc>
      </w:tr>
      <w:tr>
        <w:tc>
          <w:tcPr>
            <w:tcW w:type="dxa" w:w="2088"/>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Actual result / status</w:t>
            </w:r>
          </w:p>
        </w:tc>
        <w:tc>
          <w:tcPr>
            <w:tcW w:type="dxa" w:w="7704"/>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To be filled in after execution; not yet tested as part of this plan.</w:t>
            </w:r>
          </w:p>
        </w:tc>
      </w:tr>
    </w:tbl>
    <w:p>
      <w:pPr>
        <w:spacing w:after="20"/>
      </w:pPr>
    </w:p>
    <w:p>
      <w:pPr>
        <w:pStyle w:val="Heading2"/>
      </w:pPr>
      <w:r>
        <w:t>4.2 Test data and privacy</w:t>
      </w:r>
    </w:p>
    <w:p>
      <w:r>
        <w:t>Testing should use dummy accounts and sample opportunity records rather than real student credentials or personal information. Test data should cover valid values, missing fields, boundary values, expired listings, and users with different roles. Any exported logs or screenshots should avoid exposing passwords, tokens, or unnecessary personal details.</w:t>
      </w:r>
    </w:p>
    <w:p>
      <w:pPr>
        <w:pStyle w:val="Heading1"/>
      </w:pPr>
      <w:r>
        <w:t>5. Tools and Test Environment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160"/>
            <w:shd w:fill="2937A4"/>
            <w:tcMar>
              <w:top w:w="90" w:type="dxa"/>
              <w:start w:w="100" w:type="dxa"/>
              <w:bottom w:w="90" w:type="dxa"/>
              <w:end w:w="100" w:type="dxa"/>
            </w:tcMar>
            <w:vAlign w:val="center"/>
            <w:tcBorders>
              <w:top w:val="single" w:sz="4" w:color="DDE0EA"/>
              <w:bottom w:val="single" w:sz="4" w:color="DDE0EA"/>
              <w:left w:val="single" w:sz="4" w:color="DDE0EA"/>
              <w:right w:val="single" w:sz="4" w:color="DDE0EA"/>
            </w:tcBorders>
          </w:tcPr>
          <w:p>
            <w:pPr>
              <w:spacing w:after="0"/>
            </w:pPr>
            <w:r>
              <w:rPr>
                <w:rFonts w:ascii="Aptos" w:hAnsi="Aptos"/>
                <w:b/>
                <w:color w:val="FFFFFF"/>
                <w:sz w:val="17"/>
              </w:rPr>
              <w:t>Tool</w:t>
            </w:r>
          </w:p>
        </w:tc>
        <w:tc>
          <w:tcPr>
            <w:tcW w:type="dxa" w:w="3312"/>
            <w:shd w:fill="2937A4"/>
            <w:tcMar>
              <w:top w:w="90" w:type="dxa"/>
              <w:start w:w="100" w:type="dxa"/>
              <w:bottom w:w="90" w:type="dxa"/>
              <w:end w:w="100" w:type="dxa"/>
            </w:tcMar>
            <w:vAlign w:val="center"/>
            <w:tcBorders>
              <w:top w:val="single" w:sz="4" w:color="DDE0EA"/>
              <w:bottom w:val="single" w:sz="4" w:color="DDE0EA"/>
              <w:left w:val="single" w:sz="4" w:color="DDE0EA"/>
              <w:right w:val="single" w:sz="4" w:color="DDE0EA"/>
            </w:tcBorders>
          </w:tcPr>
          <w:p>
            <w:pPr>
              <w:spacing w:after="0"/>
            </w:pPr>
            <w:r>
              <w:rPr>
                <w:rFonts w:ascii="Aptos" w:hAnsi="Aptos"/>
                <w:b/>
                <w:color w:val="FFFFFF"/>
                <w:sz w:val="17"/>
              </w:rPr>
              <w:t>Purpose</w:t>
            </w:r>
          </w:p>
        </w:tc>
        <w:tc>
          <w:tcPr>
            <w:tcW w:type="dxa" w:w="4176"/>
            <w:shd w:fill="2937A4"/>
            <w:tcMar>
              <w:top w:w="90" w:type="dxa"/>
              <w:start w:w="100" w:type="dxa"/>
              <w:bottom w:w="90" w:type="dxa"/>
              <w:end w:w="100" w:type="dxa"/>
            </w:tcMar>
            <w:vAlign w:val="center"/>
            <w:tcBorders>
              <w:top w:val="single" w:sz="4" w:color="DDE0EA"/>
              <w:bottom w:val="single" w:sz="4" w:color="DDE0EA"/>
              <w:left w:val="single" w:sz="4" w:color="DDE0EA"/>
              <w:right w:val="single" w:sz="4" w:color="DDE0EA"/>
            </w:tcBorders>
          </w:tcPr>
          <w:p>
            <w:pPr>
              <w:spacing w:after="0"/>
            </w:pPr>
            <w:r>
              <w:rPr>
                <w:rFonts w:ascii="Aptos" w:hAnsi="Aptos"/>
                <w:b/>
                <w:color w:val="FFFFFF"/>
                <w:sz w:val="17"/>
              </w:rPr>
              <w:t>Suggested use</w:t>
            </w:r>
          </w:p>
        </w:tc>
      </w:tr>
      <w:tr>
        <w:tc>
          <w:tcPr>
            <w:tcW w:type="dxa" w:w="2160"/>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JUnit</w:t>
            </w:r>
          </w:p>
        </w:tc>
        <w:tc>
          <w:tcPr>
            <w:tcW w:type="dxa" w:w="3312"/>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Java unit testing framework.</w:t>
            </w:r>
          </w:p>
        </w:tc>
        <w:tc>
          <w:tcPr>
            <w:tcW w:type="dxa" w:w="4176"/>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Test validation methods and service-layer rules.</w:t>
            </w:r>
          </w:p>
        </w:tc>
      </w:tr>
      <w:tr>
        <w:tc>
          <w:tcPr>
            <w:tcW w:type="dxa" w:w="2160"/>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Mockito</w:t>
            </w:r>
          </w:p>
        </w:tc>
        <w:tc>
          <w:tcPr>
            <w:tcW w:type="dxa" w:w="3312"/>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Creates test doubles for dependencies.</w:t>
            </w:r>
          </w:p>
        </w:tc>
        <w:tc>
          <w:tcPr>
            <w:tcW w:type="dxa" w:w="4176"/>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Test a service without requiring a live database for every unit test.</w:t>
            </w:r>
          </w:p>
        </w:tc>
      </w:tr>
      <w:tr>
        <w:tc>
          <w:tcPr>
            <w:tcW w:type="dxa" w:w="2160"/>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Postman</w:t>
            </w:r>
          </w:p>
        </w:tc>
        <w:tc>
          <w:tcPr>
            <w:tcW w:type="dxa" w:w="3312"/>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Sends requests to APIs.</w:t>
            </w:r>
          </w:p>
        </w:tc>
        <w:tc>
          <w:tcPr>
            <w:tcW w:type="dxa" w:w="4176"/>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Check request payloads, response codes, and validation behaviour.</w:t>
            </w:r>
          </w:p>
        </w:tc>
      </w:tr>
      <w:tr>
        <w:tc>
          <w:tcPr>
            <w:tcW w:type="dxa" w:w="2160"/>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Selenium</w:t>
            </w:r>
          </w:p>
        </w:tc>
        <w:tc>
          <w:tcPr>
            <w:tcW w:type="dxa" w:w="3312"/>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Browser automation.</w:t>
            </w:r>
          </w:p>
        </w:tc>
        <w:tc>
          <w:tcPr>
            <w:tcW w:type="dxa" w:w="4176"/>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Automate selected end-to-end web workflows if the UI is ready.</w:t>
            </w:r>
          </w:p>
        </w:tc>
      </w:tr>
      <w:tr>
        <w:tc>
          <w:tcPr>
            <w:tcW w:type="dxa" w:w="2160"/>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MySQL test database</w:t>
            </w:r>
          </w:p>
        </w:tc>
        <w:tc>
          <w:tcPr>
            <w:tcW w:type="dxa" w:w="3312"/>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Stores test records separately from real data.</w:t>
            </w:r>
          </w:p>
        </w:tc>
        <w:tc>
          <w:tcPr>
            <w:tcW w:type="dxa" w:w="4176"/>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Verify persistence and integration behaviour using sample data.</w:t>
            </w:r>
          </w:p>
        </w:tc>
      </w:tr>
      <w:tr>
        <w:tc>
          <w:tcPr>
            <w:tcW w:type="dxa" w:w="2160"/>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GitHub Issues / project board</w:t>
            </w:r>
          </w:p>
        </w:tc>
        <w:tc>
          <w:tcPr>
            <w:tcW w:type="dxa" w:w="3312"/>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Tracks bugs and test tasks.</w:t>
            </w:r>
          </w:p>
        </w:tc>
        <w:tc>
          <w:tcPr>
            <w:tcW w:type="dxa" w:w="4176"/>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Assign defects, record progress, and link fixes to commits.</w:t>
            </w:r>
          </w:p>
        </w:tc>
      </w:tr>
    </w:tbl>
    <w:p>
      <w:pPr>
        <w:spacing w:after="20"/>
      </w:pPr>
    </w:p>
    <w:p>
      <w:pPr>
        <w:pStyle w:val="Heading2"/>
      </w:pPr>
      <w:r>
        <w:t>5.1 Suggested test environment</w:t>
      </w:r>
    </w:p>
    <w:p>
      <w:pPr>
        <w:pStyle w:val="ListBullet"/>
        <w:spacing w:after="60"/>
      </w:pPr>
      <w:r>
        <w:t>Use a separate test configuration and test database.</w:t>
      </w:r>
    </w:p>
    <w:p>
      <w:pPr>
        <w:pStyle w:val="ListBullet"/>
        <w:spacing w:after="60"/>
      </w:pPr>
      <w:r>
        <w:t>Create sample student, recruiter, and administrator accounts with controlled permissions.</w:t>
      </w:r>
    </w:p>
    <w:p>
      <w:pPr>
        <w:pStyle w:val="ListBullet"/>
        <w:spacing w:after="60"/>
      </w:pPr>
      <w:r>
        <w:t>Keep test data reproducible so a failed scenario can be repeated.</w:t>
      </w:r>
    </w:p>
    <w:p>
      <w:pPr>
        <w:pStyle w:val="ListBullet"/>
        <w:spacing w:after="60"/>
      </w:pPr>
      <w:r>
        <w:t>Record browser, build/version, date, and test data for important failures.</w:t>
      </w:r>
    </w:p>
    <w:p>
      <w:pPr>
        <w:pStyle w:val="ListBullet"/>
        <w:spacing w:after="60"/>
      </w:pPr>
      <w:r>
        <w:t>Do not run destructive tests against a production database.</w:t>
      </w:r>
    </w:p>
    <w:p>
      <w:pPr>
        <w:pStyle w:val="Heading2"/>
      </w:pPr>
      <w:r>
        <w:t>5.2 What to automate first</w:t>
      </w:r>
    </w:p>
    <w:p>
      <w:r>
        <w:t>I would prioritise repeatable checks for important business rules: required-field validation, duplicate applications, deadline checks, and role-based access. Browser automation can be added later for the most common user journeys. Not every test needs automation; exploratory testing is still useful for finding confusing screens and unexpected behaviour.</w:t>
      </w:r>
    </w:p>
    <w:p>
      <w:pPr>
        <w:pStyle w:val="Heading1"/>
      </w:pPr>
      <w:r>
        <w:t>6. Defect Tracking and Quality Assurance</w:t>
      </w:r>
    </w:p>
    <w:p>
      <w:r>
        <w:t>A defect should be recorded clearly enough that another team member can reproduce it. A useful report includes a short title, environment, preconditions, steps, expected result, actual result, severity, and supporting evidence. The team should avoid vague reports such as “application page broken” without explaining what happened.</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2937A4"/>
            <w:tcMar>
              <w:top w:w="90" w:type="dxa"/>
              <w:start w:w="100" w:type="dxa"/>
              <w:bottom w:w="90" w:type="dxa"/>
              <w:end w:w="100" w:type="dxa"/>
            </w:tcMar>
            <w:vAlign w:val="center"/>
            <w:tcBorders>
              <w:top w:val="single" w:sz="4" w:color="DDE0EA"/>
              <w:bottom w:val="single" w:sz="4" w:color="DDE0EA"/>
              <w:left w:val="single" w:sz="4" w:color="DDE0EA"/>
              <w:right w:val="single" w:sz="4" w:color="DDE0EA"/>
            </w:tcBorders>
          </w:tcPr>
          <w:p>
            <w:pPr>
              <w:spacing w:after="0"/>
            </w:pPr>
            <w:r>
              <w:rPr>
                <w:rFonts w:ascii="Aptos" w:hAnsi="Aptos"/>
                <w:b/>
                <w:color w:val="FFFFFF"/>
                <w:sz w:val="17"/>
              </w:rPr>
              <w:t>Field</w:t>
            </w:r>
          </w:p>
        </w:tc>
        <w:tc>
          <w:tcPr>
            <w:tcW w:type="dxa" w:w="7560"/>
            <w:shd w:fill="2937A4"/>
            <w:tcMar>
              <w:top w:w="90" w:type="dxa"/>
              <w:start w:w="100" w:type="dxa"/>
              <w:bottom w:w="90" w:type="dxa"/>
              <w:end w:w="100" w:type="dxa"/>
            </w:tcMar>
            <w:vAlign w:val="center"/>
            <w:tcBorders>
              <w:top w:val="single" w:sz="4" w:color="DDE0EA"/>
              <w:bottom w:val="single" w:sz="4" w:color="DDE0EA"/>
              <w:left w:val="single" w:sz="4" w:color="DDE0EA"/>
              <w:right w:val="single" w:sz="4" w:color="DDE0EA"/>
            </w:tcBorders>
          </w:tcPr>
          <w:p>
            <w:pPr>
              <w:spacing w:after="0"/>
            </w:pPr>
            <w:r>
              <w:rPr>
                <w:rFonts w:ascii="Aptos" w:hAnsi="Aptos"/>
                <w:b/>
                <w:color w:val="FFFFFF"/>
                <w:sz w:val="17"/>
              </w:rPr>
              <w:t>What to record</w:t>
            </w:r>
          </w:p>
        </w:tc>
      </w:tr>
      <w:tr>
        <w:tc>
          <w:tcPr>
            <w:tcW w:type="dxa" w:w="2232"/>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Defect ID and title</w:t>
            </w:r>
          </w:p>
        </w:tc>
        <w:tc>
          <w:tcPr>
            <w:tcW w:type="dxa" w:w="7560"/>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A unique reference and a short description of the problem.</w:t>
            </w:r>
          </w:p>
        </w:tc>
      </w:tr>
      <w:tr>
        <w:tc>
          <w:tcPr>
            <w:tcW w:type="dxa" w:w="2232"/>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Environment</w:t>
            </w:r>
          </w:p>
        </w:tc>
        <w:tc>
          <w:tcPr>
            <w:tcW w:type="dxa" w:w="7560"/>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Build/version, browser, operating system, and relevant setup.</w:t>
            </w:r>
          </w:p>
        </w:tc>
      </w:tr>
      <w:tr>
        <w:tc>
          <w:tcPr>
            <w:tcW w:type="dxa" w:w="2232"/>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Steps to reproduce</w:t>
            </w:r>
          </w:p>
        </w:tc>
        <w:tc>
          <w:tcPr>
            <w:tcW w:type="dxa" w:w="7560"/>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Numbered actions that reliably trigger the issue.</w:t>
            </w:r>
          </w:p>
        </w:tc>
      </w:tr>
      <w:tr>
        <w:tc>
          <w:tcPr>
            <w:tcW w:type="dxa" w:w="2232"/>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Expected vs actual</w:t>
            </w:r>
          </w:p>
        </w:tc>
        <w:tc>
          <w:tcPr>
            <w:tcW w:type="dxa" w:w="7560"/>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What should have happened compared with what happened.</w:t>
            </w:r>
          </w:p>
        </w:tc>
      </w:tr>
      <w:tr>
        <w:tc>
          <w:tcPr>
            <w:tcW w:type="dxa" w:w="2232"/>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Severity</w:t>
            </w:r>
          </w:p>
        </w:tc>
        <w:tc>
          <w:tcPr>
            <w:tcW w:type="dxa" w:w="7560"/>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Impact on users or core functionality.</w:t>
            </w:r>
          </w:p>
        </w:tc>
      </w:tr>
      <w:tr>
        <w:tc>
          <w:tcPr>
            <w:tcW w:type="dxa" w:w="2232"/>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Priority / owner</w:t>
            </w:r>
          </w:p>
        </w:tc>
        <w:tc>
          <w:tcPr>
            <w:tcW w:type="dxa" w:w="7560"/>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How urgently it should be addressed and who will investigate.</w:t>
            </w:r>
          </w:p>
        </w:tc>
      </w:tr>
      <w:tr>
        <w:tc>
          <w:tcPr>
            <w:tcW w:type="dxa" w:w="2232"/>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Evidence</w:t>
            </w:r>
          </w:p>
        </w:tc>
        <w:tc>
          <w:tcPr>
            <w:tcW w:type="dxa" w:w="7560"/>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Relevant screenshot, safe log excerpt, or test data reference.</w:t>
            </w:r>
          </w:p>
        </w:tc>
      </w:tr>
      <w:tr>
        <w:tc>
          <w:tcPr>
            <w:tcW w:type="dxa" w:w="2232"/>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Status</w:t>
            </w:r>
          </w:p>
        </w:tc>
        <w:tc>
          <w:tcPr>
            <w:tcW w:type="dxa" w:w="7560"/>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New, triaged, in progress, fixed, ready for retest, closed, or reopened.</w:t>
            </w:r>
          </w:p>
        </w:tc>
      </w:tr>
    </w:tbl>
    <w:p>
      <w:pPr>
        <w:spacing w:after="20"/>
      </w:pPr>
    </w:p>
    <w:p>
      <w:pPr>
        <w:pStyle w:val="Heading2"/>
      </w:pPr>
      <w:r>
        <w:t>6.1 Example defect record</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2937A4"/>
            <w:tcMar>
              <w:top w:w="90" w:type="dxa"/>
              <w:start w:w="100" w:type="dxa"/>
              <w:bottom w:w="90" w:type="dxa"/>
              <w:end w:w="100" w:type="dxa"/>
            </w:tcMar>
            <w:vAlign w:val="center"/>
            <w:tcBorders>
              <w:top w:val="single" w:sz="4" w:color="DDE0EA"/>
              <w:bottom w:val="single" w:sz="4" w:color="DDE0EA"/>
              <w:left w:val="single" w:sz="4" w:color="DDE0EA"/>
              <w:right w:val="single" w:sz="4" w:color="DDE0EA"/>
            </w:tcBorders>
          </w:tcPr>
          <w:p>
            <w:pPr>
              <w:spacing w:after="0"/>
            </w:pPr>
            <w:r>
              <w:rPr>
                <w:rFonts w:ascii="Aptos" w:hAnsi="Aptos"/>
                <w:b/>
                <w:color w:val="FFFFFF"/>
                <w:sz w:val="17"/>
              </w:rPr>
              <w:t>Field</w:t>
            </w:r>
          </w:p>
        </w:tc>
        <w:tc>
          <w:tcPr>
            <w:tcW w:type="dxa" w:w="7560"/>
            <w:shd w:fill="2937A4"/>
            <w:tcMar>
              <w:top w:w="90" w:type="dxa"/>
              <w:start w:w="100" w:type="dxa"/>
              <w:bottom w:w="90" w:type="dxa"/>
              <w:end w:w="100" w:type="dxa"/>
            </w:tcMar>
            <w:vAlign w:val="center"/>
            <w:tcBorders>
              <w:top w:val="single" w:sz="4" w:color="DDE0EA"/>
              <w:bottom w:val="single" w:sz="4" w:color="DDE0EA"/>
              <w:left w:val="single" w:sz="4" w:color="DDE0EA"/>
              <w:right w:val="single" w:sz="4" w:color="DDE0EA"/>
            </w:tcBorders>
          </w:tcPr>
          <w:p>
            <w:pPr>
              <w:spacing w:after="0"/>
            </w:pPr>
            <w:r>
              <w:rPr>
                <w:rFonts w:ascii="Aptos" w:hAnsi="Aptos"/>
                <w:b/>
                <w:color w:val="FFFFFF"/>
                <w:sz w:val="17"/>
              </w:rPr>
              <w:t>Illustrative entry</w:t>
            </w:r>
          </w:p>
        </w:tc>
      </w:tr>
      <w:tr>
        <w:tc>
          <w:tcPr>
            <w:tcW w:type="dxa" w:w="2232"/>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Title</w:t>
            </w:r>
          </w:p>
        </w:tc>
        <w:tc>
          <w:tcPr>
            <w:tcW w:type="dxa" w:w="7560"/>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Expired opportunity still shows an active Apply button</w:t>
            </w:r>
          </w:p>
        </w:tc>
      </w:tr>
      <w:tr>
        <w:tc>
          <w:tcPr>
            <w:tcW w:type="dxa" w:w="2232"/>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Severity</w:t>
            </w:r>
          </w:p>
        </w:tc>
        <w:tc>
          <w:tcPr>
            <w:tcW w:type="dxa" w:w="7560"/>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High if users can submit invalid applications</w:t>
            </w:r>
          </w:p>
        </w:tc>
      </w:tr>
      <w:tr>
        <w:tc>
          <w:tcPr>
            <w:tcW w:type="dxa" w:w="2232"/>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Steps</w:t>
            </w:r>
          </w:p>
        </w:tc>
        <w:tc>
          <w:tcPr>
            <w:tcW w:type="dxa" w:w="7560"/>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1. Open an expired listing. 2. Select Apply.</w:t>
            </w:r>
          </w:p>
        </w:tc>
      </w:tr>
      <w:tr>
        <w:tc>
          <w:tcPr>
            <w:tcW w:type="dxa" w:w="2232"/>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Expected</w:t>
            </w:r>
          </w:p>
        </w:tc>
        <w:tc>
          <w:tcPr>
            <w:tcW w:type="dxa" w:w="7560"/>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The application is blocked and an explanation is shown.</w:t>
            </w:r>
          </w:p>
        </w:tc>
      </w:tr>
      <w:tr>
        <w:tc>
          <w:tcPr>
            <w:tcW w:type="dxa" w:w="2232"/>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Actual</w:t>
            </w:r>
          </w:p>
        </w:tc>
        <w:tc>
          <w:tcPr>
            <w:tcW w:type="dxa" w:w="7560"/>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To be completed only after reproducing the issue.</w:t>
            </w:r>
          </w:p>
        </w:tc>
      </w:tr>
      <w:tr>
        <w:tc>
          <w:tcPr>
            <w:tcW w:type="dxa" w:w="2232"/>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Status</w:t>
            </w:r>
          </w:p>
        </w:tc>
        <w:tc>
          <w:tcPr>
            <w:tcW w:type="dxa" w:w="7560"/>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Example template — not a confirmed project defect.</w:t>
            </w:r>
          </w:p>
        </w:tc>
      </w:tr>
    </w:tbl>
    <w:p>
      <w:pPr>
        <w:spacing w:after="20"/>
      </w:pPr>
    </w:p>
    <w:p>
      <w:pPr>
        <w:pStyle w:val="Heading2"/>
      </w:pPr>
      <w:r>
        <w:t>6.2 Defect feedback loop</w:t>
      </w:r>
    </w:p>
    <w:tbl>
      <w:tblPr>
        <w:tblW w:type="auto" w:w="0"/>
        <w:jc w:val="center"/>
        <w:tblLook w:firstColumn="1" w:firstRow="1" w:lastColumn="0" w:lastRow="0" w:noHBand="0" w:noVBand="1" w:val="04A0"/>
      </w:tblPr>
      <w:tblGrid>
        <w:gridCol w:w="1666"/>
        <w:gridCol w:w="1666"/>
        <w:gridCol w:w="1666"/>
        <w:gridCol w:w="1666"/>
        <w:gridCol w:w="1666"/>
        <w:gridCol w:w="1666"/>
      </w:tblGrid>
      <w:tr>
        <w:tc>
          <w:tcPr>
            <w:tcW w:type="dxa" w:w="1666"/>
            <w:shd w:fill="FFF0F5"/>
            <w:tcMar>
              <w:top w:w="120" w:type="dxa"/>
              <w:start w:w="65" w:type="dxa"/>
              <w:bottom w:w="120" w:type="dxa"/>
              <w:end w:w="65" w:type="dxa"/>
            </w:tcMar>
            <w:tcBorders>
              <w:top w:val="single" w:sz="5" w:color="E9367A"/>
              <w:bottom w:val="single" w:sz="5" w:color="DDE0EA"/>
              <w:left w:val="single" w:sz="5" w:color="DDE0EA"/>
              <w:right w:val="single" w:sz="5" w:color="DDE0EA"/>
            </w:tcBorders>
          </w:tcPr>
          <w:p>
            <w:pPr>
              <w:jc w:val="center"/>
            </w:pPr>
            <w:r/>
            <w:r>
              <w:rPr>
                <w:b/>
                <w:color w:val="2937A4"/>
                <w:sz w:val="16"/>
              </w:rPr>
              <w:t>Find</w:t>
            </w:r>
          </w:p>
          <w:p>
            <w:pPr>
              <w:spacing w:after="0"/>
              <w:jc w:val="center"/>
            </w:pPr>
            <w:r>
              <w:rPr>
                <w:color w:val="626879"/>
                <w:sz w:val="14"/>
              </w:rPr>
              <w:t>Test fails</w:t>
            </w:r>
          </w:p>
          <w:p>
            <w:pPr>
              <w:spacing w:after="0"/>
              <w:jc w:val="center"/>
            </w:pPr>
            <w:r>
              <w:rPr>
                <w:b/>
                <w:color w:val="E9367A"/>
              </w:rPr>
              <w:t>→</w:t>
            </w:r>
          </w:p>
        </w:tc>
        <w:tc>
          <w:tcPr>
            <w:tcW w:type="dxa" w:w="1666"/>
            <w:shd w:fill="F4F5FB"/>
            <w:tcMar>
              <w:top w:w="120" w:type="dxa"/>
              <w:start w:w="65" w:type="dxa"/>
              <w:bottom w:w="120" w:type="dxa"/>
              <w:end w:w="65" w:type="dxa"/>
            </w:tcMar>
            <w:tcBorders>
              <w:top w:val="single" w:sz="5" w:color="DDE0EA"/>
              <w:bottom w:val="single" w:sz="5" w:color="DDE0EA"/>
              <w:left w:val="single" w:sz="5" w:color="DDE0EA"/>
              <w:right w:val="single" w:sz="5" w:color="DDE0EA"/>
            </w:tcBorders>
          </w:tcPr>
          <w:p>
            <w:pPr>
              <w:jc w:val="center"/>
            </w:pPr>
            <w:r/>
            <w:r>
              <w:rPr>
                <w:b/>
                <w:color w:val="2937A4"/>
                <w:sz w:val="16"/>
              </w:rPr>
              <w:t>Log</w:t>
            </w:r>
          </w:p>
          <w:p>
            <w:pPr>
              <w:spacing w:after="0"/>
              <w:jc w:val="center"/>
            </w:pPr>
            <w:r>
              <w:rPr>
                <w:color w:val="626879"/>
                <w:sz w:val="14"/>
              </w:rPr>
              <w:t>Record evidence</w:t>
            </w:r>
          </w:p>
          <w:p>
            <w:pPr>
              <w:spacing w:after="0"/>
              <w:jc w:val="center"/>
            </w:pPr>
            <w:r>
              <w:rPr>
                <w:b/>
                <w:color w:val="E9367A"/>
              </w:rPr>
              <w:t>→</w:t>
            </w:r>
          </w:p>
        </w:tc>
        <w:tc>
          <w:tcPr>
            <w:tcW w:type="dxa" w:w="1666"/>
            <w:shd w:fill="F4F5FB"/>
            <w:tcMar>
              <w:top w:w="120" w:type="dxa"/>
              <w:start w:w="65" w:type="dxa"/>
              <w:bottom w:w="120" w:type="dxa"/>
              <w:end w:w="65" w:type="dxa"/>
            </w:tcMar>
            <w:tcBorders>
              <w:top w:val="single" w:sz="5" w:color="DDE0EA"/>
              <w:bottom w:val="single" w:sz="5" w:color="DDE0EA"/>
              <w:left w:val="single" w:sz="5" w:color="DDE0EA"/>
              <w:right w:val="single" w:sz="5" w:color="DDE0EA"/>
            </w:tcBorders>
          </w:tcPr>
          <w:p>
            <w:pPr>
              <w:jc w:val="center"/>
            </w:pPr>
            <w:r/>
            <w:r>
              <w:rPr>
                <w:b/>
                <w:color w:val="2937A4"/>
                <w:sz w:val="16"/>
              </w:rPr>
              <w:t>Triage</w:t>
            </w:r>
          </w:p>
          <w:p>
            <w:pPr>
              <w:spacing w:after="0"/>
              <w:jc w:val="center"/>
            </w:pPr>
            <w:r>
              <w:rPr>
                <w:color w:val="626879"/>
                <w:sz w:val="14"/>
              </w:rPr>
              <w:t>Set severity</w:t>
            </w:r>
          </w:p>
          <w:p>
            <w:pPr>
              <w:spacing w:after="0"/>
              <w:jc w:val="center"/>
            </w:pPr>
            <w:r>
              <w:rPr>
                <w:b/>
                <w:color w:val="E9367A"/>
              </w:rPr>
              <w:t>→</w:t>
            </w:r>
          </w:p>
        </w:tc>
        <w:tc>
          <w:tcPr>
            <w:tcW w:type="dxa" w:w="1666"/>
            <w:shd w:fill="F4F5FB"/>
            <w:tcMar>
              <w:top w:w="120" w:type="dxa"/>
              <w:start w:w="65" w:type="dxa"/>
              <w:bottom w:w="120" w:type="dxa"/>
              <w:end w:w="65" w:type="dxa"/>
            </w:tcMar>
            <w:tcBorders>
              <w:top w:val="single" w:sz="5" w:color="DDE0EA"/>
              <w:bottom w:val="single" w:sz="5" w:color="DDE0EA"/>
              <w:left w:val="single" w:sz="5" w:color="DDE0EA"/>
              <w:right w:val="single" w:sz="5" w:color="DDE0EA"/>
            </w:tcBorders>
          </w:tcPr>
          <w:p>
            <w:pPr>
              <w:jc w:val="center"/>
            </w:pPr>
            <w:r/>
            <w:r>
              <w:rPr>
                <w:b/>
                <w:color w:val="2937A4"/>
                <w:sz w:val="16"/>
              </w:rPr>
              <w:t>Fix</w:t>
            </w:r>
          </w:p>
          <w:p>
            <w:pPr>
              <w:spacing w:after="0"/>
              <w:jc w:val="center"/>
            </w:pPr>
            <w:r>
              <w:rPr>
                <w:color w:val="626879"/>
                <w:sz w:val="14"/>
              </w:rPr>
              <w:t>Developer updates code</w:t>
            </w:r>
          </w:p>
          <w:p>
            <w:pPr>
              <w:spacing w:after="0"/>
              <w:jc w:val="center"/>
            </w:pPr>
            <w:r>
              <w:rPr>
                <w:b/>
                <w:color w:val="E9367A"/>
              </w:rPr>
              <w:t>→</w:t>
            </w:r>
          </w:p>
        </w:tc>
        <w:tc>
          <w:tcPr>
            <w:tcW w:type="dxa" w:w="1666"/>
            <w:shd w:fill="F4F5FB"/>
            <w:tcMar>
              <w:top w:w="120" w:type="dxa"/>
              <w:start w:w="65" w:type="dxa"/>
              <w:bottom w:w="120" w:type="dxa"/>
              <w:end w:w="65" w:type="dxa"/>
            </w:tcMar>
            <w:tcBorders>
              <w:top w:val="single" w:sz="5" w:color="DDE0EA"/>
              <w:bottom w:val="single" w:sz="5" w:color="DDE0EA"/>
              <w:left w:val="single" w:sz="5" w:color="DDE0EA"/>
              <w:right w:val="single" w:sz="5" w:color="DDE0EA"/>
            </w:tcBorders>
          </w:tcPr>
          <w:p>
            <w:pPr>
              <w:jc w:val="center"/>
            </w:pPr>
            <w:r/>
            <w:r>
              <w:rPr>
                <w:b/>
                <w:color w:val="2937A4"/>
                <w:sz w:val="16"/>
              </w:rPr>
              <w:t>Retest</w:t>
            </w:r>
          </w:p>
          <w:p>
            <w:pPr>
              <w:spacing w:after="0"/>
              <w:jc w:val="center"/>
            </w:pPr>
            <w:r>
              <w:rPr>
                <w:color w:val="626879"/>
                <w:sz w:val="14"/>
              </w:rPr>
              <w:t>Check the correction</w:t>
            </w:r>
          </w:p>
          <w:p>
            <w:pPr>
              <w:spacing w:after="0"/>
              <w:jc w:val="center"/>
            </w:pPr>
            <w:r>
              <w:rPr>
                <w:b/>
                <w:color w:val="E9367A"/>
              </w:rPr>
              <w:t>→</w:t>
            </w:r>
          </w:p>
        </w:tc>
        <w:tc>
          <w:tcPr>
            <w:tcW w:type="dxa" w:w="1666"/>
            <w:shd w:fill="F4F5FB"/>
            <w:tcMar>
              <w:top w:w="120" w:type="dxa"/>
              <w:start w:w="65" w:type="dxa"/>
              <w:bottom w:w="120" w:type="dxa"/>
              <w:end w:w="65" w:type="dxa"/>
            </w:tcMar>
            <w:tcBorders>
              <w:top w:val="single" w:sz="5" w:color="DDE0EA"/>
              <w:bottom w:val="single" w:sz="5" w:color="DDE0EA"/>
              <w:left w:val="single" w:sz="5" w:color="DDE0EA"/>
              <w:right w:val="single" w:sz="5" w:color="DDE0EA"/>
            </w:tcBorders>
          </w:tcPr>
          <w:p>
            <w:pPr>
              <w:jc w:val="center"/>
            </w:pPr>
            <w:r/>
            <w:r>
              <w:rPr>
                <w:b/>
                <w:color w:val="2937A4"/>
                <w:sz w:val="16"/>
              </w:rPr>
              <w:t>Regress</w:t>
            </w:r>
          </w:p>
          <w:p>
            <w:pPr>
              <w:spacing w:after="0"/>
              <w:jc w:val="center"/>
            </w:pPr>
            <w:r>
              <w:rPr>
                <w:color w:val="626879"/>
                <w:sz w:val="14"/>
              </w:rPr>
              <w:t>Check related features</w:t>
            </w:r>
          </w:p>
        </w:tc>
      </w:tr>
    </w:tbl>
    <w:p>
      <w:pPr>
        <w:spacing w:after="140"/>
        <w:jc w:val="center"/>
      </w:pPr>
      <w:r>
        <w:rPr>
          <w:i/>
          <w:color w:val="626879"/>
          <w:sz w:val="16"/>
        </w:rPr>
        <w:t>Figure 2. Proposed defect-handling and feedback loop.</w:t>
      </w:r>
    </w:p>
    <w:p>
      <w:r>
        <w:t>Quality assurance should not happen only at the end. Requirements can be reviewed for ambiguity before development, code can be reviewed while it is written, and tests can be repeated after changes. The results should inform the next development cycle.</w:t>
      </w:r>
    </w:p>
    <w:p>
      <w:pPr>
        <w:pStyle w:val="Heading1"/>
      </w:pPr>
      <w:r>
        <w:t>7. Roles, Reporting, and Exit Criteria</w:t>
      </w:r>
    </w:p>
    <w:p>
      <w:pPr>
        <w:pStyle w:val="Heading2"/>
      </w:pPr>
      <w:r>
        <w:t>7.1 Suggested responsibilities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2937A4"/>
            <w:tcMar>
              <w:top w:w="90" w:type="dxa"/>
              <w:start w:w="100" w:type="dxa"/>
              <w:bottom w:w="90" w:type="dxa"/>
              <w:end w:w="100" w:type="dxa"/>
            </w:tcMar>
            <w:vAlign w:val="center"/>
            <w:tcBorders>
              <w:top w:val="single" w:sz="4" w:color="DDE0EA"/>
              <w:bottom w:val="single" w:sz="4" w:color="DDE0EA"/>
              <w:left w:val="single" w:sz="4" w:color="DDE0EA"/>
              <w:right w:val="single" w:sz="4" w:color="DDE0EA"/>
            </w:tcBorders>
          </w:tcPr>
          <w:p>
            <w:pPr>
              <w:spacing w:after="0"/>
            </w:pPr>
            <w:r>
              <w:rPr>
                <w:rFonts w:ascii="Aptos" w:hAnsi="Aptos"/>
                <w:b/>
                <w:color w:val="FFFFFF"/>
                <w:sz w:val="17"/>
              </w:rPr>
              <w:t>Role</w:t>
            </w:r>
          </w:p>
        </w:tc>
        <w:tc>
          <w:tcPr>
            <w:tcW w:type="dxa" w:w="7272"/>
            <w:shd w:fill="2937A4"/>
            <w:tcMar>
              <w:top w:w="90" w:type="dxa"/>
              <w:start w:w="100" w:type="dxa"/>
              <w:bottom w:w="90" w:type="dxa"/>
              <w:end w:w="100" w:type="dxa"/>
            </w:tcMar>
            <w:vAlign w:val="center"/>
            <w:tcBorders>
              <w:top w:val="single" w:sz="4" w:color="DDE0EA"/>
              <w:bottom w:val="single" w:sz="4" w:color="DDE0EA"/>
              <w:left w:val="single" w:sz="4" w:color="DDE0EA"/>
              <w:right w:val="single" w:sz="4" w:color="DDE0EA"/>
            </w:tcBorders>
          </w:tcPr>
          <w:p>
            <w:pPr>
              <w:spacing w:after="0"/>
            </w:pPr>
            <w:r>
              <w:rPr>
                <w:rFonts w:ascii="Aptos" w:hAnsi="Aptos"/>
                <w:b/>
                <w:color w:val="FFFFFF"/>
                <w:sz w:val="17"/>
              </w:rPr>
              <w:t>Responsibility</w:t>
            </w:r>
          </w:p>
        </w:tc>
      </w:tr>
      <w:tr>
        <w:tc>
          <w:tcPr>
            <w:tcW w:type="dxa" w:w="2520"/>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Student developer</w:t>
            </w:r>
          </w:p>
        </w:tc>
        <w:tc>
          <w:tcPr>
            <w:tcW w:type="dxa" w:w="7272"/>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Write unit tests for owned logic, fix defects, and keep test cases updated.</w:t>
            </w:r>
          </w:p>
        </w:tc>
      </w:tr>
      <w:tr>
        <w:tc>
          <w:tcPr>
            <w:tcW w:type="dxa" w:w="2520"/>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Reviewer / teammate</w:t>
            </w:r>
          </w:p>
        </w:tc>
        <w:tc>
          <w:tcPr>
            <w:tcW w:type="dxa" w:w="7272"/>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Review test coverage, reproduce reported issues, and check fixes.</w:t>
            </w:r>
          </w:p>
        </w:tc>
      </w:tr>
      <w:tr>
        <w:tc>
          <w:tcPr>
            <w:tcW w:type="dxa" w:w="2520"/>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Project coordinator / mentor</w:t>
            </w:r>
          </w:p>
        </w:tc>
        <w:tc>
          <w:tcPr>
            <w:tcW w:type="dxa" w:w="7272"/>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Help clarify requirements, prioritise risks, and review open defects.</w:t>
            </w:r>
          </w:p>
        </w:tc>
      </w:tr>
      <w:tr>
        <w:tc>
          <w:tcPr>
            <w:tcW w:type="dxa" w:w="2520"/>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Representative user</w:t>
            </w:r>
          </w:p>
        </w:tc>
        <w:tc>
          <w:tcPr>
            <w:tcW w:type="dxa" w:w="7272"/>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Provide acceptance feedback on whether key workflows are understandable.</w:t>
            </w:r>
          </w:p>
        </w:tc>
      </w:tr>
    </w:tbl>
    <w:p>
      <w:pPr>
        <w:spacing w:after="20"/>
      </w:pPr>
    </w:p>
    <w:p>
      <w:r>
        <w:t>In a small internship project, one person may perform several of these roles. The purpose is to make responsibilities clear rather than to require a large formal QA team.</w:t>
      </w:r>
    </w:p>
    <w:p>
      <w:pPr>
        <w:pStyle w:val="Heading2"/>
      </w:pPr>
      <w:r>
        <w:t>7.2 Entry and exit criteria</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2937A4"/>
            <w:tcMar>
              <w:top w:w="90" w:type="dxa"/>
              <w:start w:w="100" w:type="dxa"/>
              <w:bottom w:w="90" w:type="dxa"/>
              <w:end w:w="100" w:type="dxa"/>
            </w:tcMar>
            <w:vAlign w:val="center"/>
            <w:tcBorders>
              <w:top w:val="single" w:sz="4" w:color="DDE0EA"/>
              <w:bottom w:val="single" w:sz="4" w:color="DDE0EA"/>
              <w:left w:val="single" w:sz="4" w:color="DDE0EA"/>
              <w:right w:val="single" w:sz="4" w:color="DDE0EA"/>
            </w:tcBorders>
          </w:tcPr>
          <w:p>
            <w:pPr>
              <w:spacing w:after="0"/>
            </w:pPr>
            <w:r>
              <w:rPr>
                <w:rFonts w:ascii="Aptos" w:hAnsi="Aptos"/>
                <w:b/>
                <w:color w:val="FFFFFF"/>
                <w:sz w:val="17"/>
              </w:rPr>
              <w:t>Stage</w:t>
            </w:r>
          </w:p>
        </w:tc>
        <w:tc>
          <w:tcPr>
            <w:tcW w:type="dxa" w:w="7200"/>
            <w:shd w:fill="2937A4"/>
            <w:tcMar>
              <w:top w:w="90" w:type="dxa"/>
              <w:start w:w="100" w:type="dxa"/>
              <w:bottom w:w="90" w:type="dxa"/>
              <w:end w:w="100" w:type="dxa"/>
            </w:tcMar>
            <w:vAlign w:val="center"/>
            <w:tcBorders>
              <w:top w:val="single" w:sz="4" w:color="DDE0EA"/>
              <w:bottom w:val="single" w:sz="4" w:color="DDE0EA"/>
              <w:left w:val="single" w:sz="4" w:color="DDE0EA"/>
              <w:right w:val="single" w:sz="4" w:color="DDE0EA"/>
            </w:tcBorders>
          </w:tcPr>
          <w:p>
            <w:pPr>
              <w:spacing w:after="0"/>
            </w:pPr>
            <w:r>
              <w:rPr>
                <w:rFonts w:ascii="Aptos" w:hAnsi="Aptos"/>
                <w:b/>
                <w:color w:val="FFFFFF"/>
                <w:sz w:val="17"/>
              </w:rPr>
              <w:t>Suggested criteria</w:t>
            </w:r>
          </w:p>
        </w:tc>
      </w:tr>
      <w:tr>
        <w:tc>
          <w:tcPr>
            <w:tcW w:type="dxa" w:w="2592"/>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Start testing when</w:t>
            </w:r>
          </w:p>
        </w:tc>
        <w:tc>
          <w:tcPr>
            <w:tcW w:type="dxa" w:w="7200"/>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The feature requirements are clear, a test build is available, and required accounts/data can be prepared.</w:t>
            </w:r>
          </w:p>
        </w:tc>
      </w:tr>
      <w:tr>
        <w:tc>
          <w:tcPr>
            <w:tcW w:type="dxa" w:w="2592"/>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Pause or mark blocked when</w:t>
            </w:r>
          </w:p>
        </w:tc>
        <w:tc>
          <w:tcPr>
            <w:tcW w:type="dxa" w:w="7200"/>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The environment is unavailable or a prerequisite prevents a meaningful test.</w:t>
            </w:r>
          </w:p>
        </w:tc>
      </w:tr>
      <w:tr>
        <w:tc>
          <w:tcPr>
            <w:tcW w:type="dxa" w:w="2592"/>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Consider a test cycle complete when</w:t>
            </w:r>
          </w:p>
        </w:tc>
        <w:tc>
          <w:tcPr>
            <w:tcW w:type="dxa" w:w="7200"/>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Planned tests have recorded outcomes, critical defects are addressed or explicitly accepted, and remaining risks are documented.</w:t>
            </w:r>
          </w:p>
        </w:tc>
      </w:tr>
      <w:tr>
        <w:tc>
          <w:tcPr>
            <w:tcW w:type="dxa" w:w="2592"/>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Before release</w:t>
            </w:r>
          </w:p>
        </w:tc>
        <w:tc>
          <w:tcPr>
            <w:tcW w:type="dxa" w:w="7200"/>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Core user journeys and access controls have been checked, important fixes have been retested, and known limitations are communicated.</w:t>
            </w:r>
          </w:p>
        </w:tc>
      </w:tr>
    </w:tbl>
    <w:p>
      <w:pPr>
        <w:spacing w:after="20"/>
      </w:pPr>
    </w:p>
    <w:p>
      <w:pPr>
        <w:pStyle w:val="Heading2"/>
      </w:pPr>
      <w:r>
        <w:t>7.3 Reporting test results</w:t>
      </w:r>
    </w:p>
    <w:p>
      <w:r>
        <w:t>A short test summary can show how many cases passed, failed, were blocked, or remain untested. It should also list high-severity open defects and explain which features were not covered. The numbers must be filled in after tests are actually run; this report does not invent execution results.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2937A4"/>
            <w:tcMar>
              <w:top w:w="90" w:type="dxa"/>
              <w:start w:w="100" w:type="dxa"/>
              <w:bottom w:w="90" w:type="dxa"/>
              <w:end w:w="100" w:type="dxa"/>
            </w:tcMar>
            <w:vAlign w:val="center"/>
            <w:tcBorders>
              <w:top w:val="single" w:sz="4" w:color="DDE0EA"/>
              <w:bottom w:val="single" w:sz="4" w:color="DDE0EA"/>
              <w:left w:val="single" w:sz="4" w:color="DDE0EA"/>
              <w:right w:val="single" w:sz="4" w:color="DDE0EA"/>
            </w:tcBorders>
          </w:tcPr>
          <w:p>
            <w:pPr>
              <w:spacing w:after="0"/>
            </w:pPr>
            <w:r>
              <w:rPr>
                <w:rFonts w:ascii="Aptos" w:hAnsi="Aptos"/>
                <w:b/>
                <w:color w:val="FFFFFF"/>
                <w:sz w:val="17"/>
              </w:rPr>
              <w:t>Metric</w:t>
            </w:r>
          </w:p>
        </w:tc>
        <w:tc>
          <w:tcPr>
            <w:tcW w:type="dxa" w:w="6912"/>
            <w:shd w:fill="2937A4"/>
            <w:tcMar>
              <w:top w:w="90" w:type="dxa"/>
              <w:start w:w="100" w:type="dxa"/>
              <w:bottom w:w="90" w:type="dxa"/>
              <w:end w:w="100" w:type="dxa"/>
            </w:tcMar>
            <w:vAlign w:val="center"/>
            <w:tcBorders>
              <w:top w:val="single" w:sz="4" w:color="DDE0EA"/>
              <w:bottom w:val="single" w:sz="4" w:color="DDE0EA"/>
              <w:left w:val="single" w:sz="4" w:color="DDE0EA"/>
              <w:right w:val="single" w:sz="4" w:color="DDE0EA"/>
            </w:tcBorders>
          </w:tcPr>
          <w:p>
            <w:pPr>
              <w:spacing w:after="0"/>
            </w:pPr>
            <w:r>
              <w:rPr>
                <w:rFonts w:ascii="Aptos" w:hAnsi="Aptos"/>
                <w:b/>
                <w:color w:val="FFFFFF"/>
                <w:sz w:val="17"/>
              </w:rPr>
              <w:t>How it can be reported</w:t>
            </w:r>
          </w:p>
        </w:tc>
      </w:tr>
      <w:tr>
        <w:tc>
          <w:tcPr>
            <w:tcW w:type="dxa" w:w="2880"/>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Test cases executed</w:t>
            </w:r>
          </w:p>
        </w:tc>
        <w:tc>
          <w:tcPr>
            <w:tcW w:type="dxa" w:w="6912"/>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Count of cases with a recorded result.</w:t>
            </w:r>
          </w:p>
        </w:tc>
      </w:tr>
      <w:tr>
        <w:tc>
          <w:tcPr>
            <w:tcW w:type="dxa" w:w="2880"/>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Pass / fail / blocked</w:t>
            </w:r>
          </w:p>
        </w:tc>
        <w:tc>
          <w:tcPr>
            <w:tcW w:type="dxa" w:w="6912"/>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Counts and percentage of executed cases in each category.</w:t>
            </w:r>
          </w:p>
        </w:tc>
      </w:tr>
      <w:tr>
        <w:tc>
          <w:tcPr>
            <w:tcW w:type="dxa" w:w="2880"/>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Defects by severity</w:t>
            </w:r>
          </w:p>
        </w:tc>
        <w:tc>
          <w:tcPr>
            <w:tcW w:type="dxa" w:w="6912"/>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Open and closed issues grouped by impact.</w:t>
            </w:r>
          </w:p>
        </w:tc>
      </w:tr>
      <w:tr>
        <w:tc>
          <w:tcPr>
            <w:tcW w:type="dxa" w:w="2880"/>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Coverage gaps</w:t>
            </w:r>
          </w:p>
        </w:tc>
        <w:tc>
          <w:tcPr>
            <w:tcW w:type="dxa" w:w="6912"/>
            <w:shd w:fill="F4F5FB"/>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Requirements or user journeys not yet tested.</w:t>
            </w:r>
          </w:p>
        </w:tc>
      </w:tr>
      <w:tr>
        <w:tc>
          <w:tcPr>
            <w:tcW w:type="dxa" w:w="2880"/>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Known risks</w:t>
            </w:r>
          </w:p>
        </w:tc>
        <w:tc>
          <w:tcPr>
            <w:tcW w:type="dxa" w:w="6912"/>
            <w:shd w:fill="FFFFFF"/>
            <w:tcMar>
              <w:top w:w="90" w:type="dxa"/>
              <w:start w:w="100" w:type="dxa"/>
              <w:bottom w:w="90" w:type="dxa"/>
              <w:end w:w="100" w:type="dxa"/>
            </w:tcMar>
            <w:vAlign w:val="top"/>
            <w:tcBorders>
              <w:top w:val="single" w:sz="4" w:color="DDE0EA"/>
              <w:bottom w:val="single" w:sz="4" w:color="DDE0EA"/>
              <w:left w:val="single" w:sz="4" w:color="DDE0EA"/>
              <w:right w:val="single" w:sz="4" w:color="DDE0EA"/>
            </w:tcBorders>
          </w:tcPr>
          <w:p>
            <w:pPr>
              <w:spacing w:after="0" w:line="240" w:lineRule="auto"/>
            </w:pPr>
            <w:r>
              <w:rPr>
                <w:rFonts w:ascii="Aptos" w:hAnsi="Aptos"/>
                <w:color w:val="25283A"/>
                <w:sz w:val="16"/>
              </w:rPr>
              <w:t>Outstanding issues that may affect use or release.</w:t>
            </w:r>
          </w:p>
        </w:tc>
      </w:tr>
    </w:tbl>
    <w:p>
      <w:pPr>
        <w:spacing w:after="20"/>
      </w:pPr>
    </w:p>
    <w:p>
      <w:pPr>
        <w:pStyle w:val="Heading1"/>
      </w:pPr>
      <w:r>
        <w:t>8. Conclusion</w:t>
      </w:r>
    </w:p>
    <w:p>
      <w:r>
        <w:t>In Week 5, I prepared a proposed testing strategy and quality assurance plan for the Internship and Job Opportunity Management System. The plan explains the testing lifecycle, unit, integration, system and user acceptance testing, as well as functional, security, usability, and performance checks. It also includes sample test cases for registration, login, opportunity search, application submission, duplicate prevention, and role-based access.</w:t>
      </w:r>
    </w:p>
    <w:p>
      <w:r>
        <w:t>I learned that software quality depends on more than checking whether a feature works once. Tests should be planned around requirements, expected results should be written clearly, and defects should be recorded so they can be reproduced and verified after a fix. For this project, I would begin with the most important business rules and core user journeys, then add automation where it saves time and improves repeatability. The next step would be to confirm the final requirements and use this plan as a checklist when implementation becomes available.</w:t>
      </w:r>
    </w:p>
    <w:p>
      <w:pPr>
        <w:pStyle w:val="Heading2"/>
      </w:pPr>
      <w:r>
        <w:t>References and further reading</w:t>
      </w:r>
    </w:p>
    <w:p>
      <w:pPr>
        <w:pStyle w:val="ListBullet"/>
        <w:spacing w:after="60"/>
      </w:pPr>
      <w:r>
        <w:t>JUnit 5 User Guide: https://junit.org/junit5/docs/current/user-guide/</w:t>
      </w:r>
    </w:p>
    <w:p>
      <w:pPr>
        <w:pStyle w:val="ListBullet"/>
        <w:spacing w:after="60"/>
      </w:pPr>
      <w:r>
        <w:t>Mockito documentation: https://site.mockito.org/</w:t>
      </w:r>
    </w:p>
    <w:p>
      <w:pPr>
        <w:pStyle w:val="ListBullet"/>
        <w:spacing w:after="60"/>
      </w:pPr>
      <w:r>
        <w:t>Postman Learning Center: https://learning.postman.com/</w:t>
      </w:r>
    </w:p>
    <w:p>
      <w:pPr>
        <w:pStyle w:val="ListBullet"/>
        <w:spacing w:after="60"/>
      </w:pPr>
      <w:r>
        <w:t>Selenium documentation: https://www.selenium.dev/documentation/</w:t>
      </w:r>
    </w:p>
    <w:p>
      <w:pPr>
        <w:pStyle w:val="ListBullet"/>
        <w:spacing w:after="60"/>
      </w:pPr>
      <w:r>
        <w:t>GitHub Issues documentation: https://docs.github.com/en/issues</w:t>
      </w:r>
    </w:p>
    <w:p>
      <w:r>
        <w:rPr>
          <w:i/>
          <w:color w:val="626879"/>
          <w:sz w:val="16"/>
        </w:rPr>
        <w:t>Report note: This is a planning document. All test cases, workflows, and defect examples are illustrative until they are executed against the actual project.</w:t>
      </w:r>
    </w:p>
    <w:sectPr w:rsidR="00FC693F" w:rsidRPr="0006063C" w:rsidSect="00034616">
      <w:headerReference w:type="default" r:id="rId9"/>
      <w:footerReference w:type="default" r:id="rId10"/>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6879"/>
        <w:sz w:val="16"/>
      </w:rPr>
      <w:t>Amanjeet  •  Internship Report  •  15 October 2026</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25BFF"/>
        <w:sz w:val="16"/>
      </w:rPr>
      <w:t>YuvaIntern  |  WEEK 5 — TESTING STRATEGY &amp; QUALITY ASSURANCE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528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2937A4"/>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625BF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2937A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color w:val="25283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5 Internship Report — Testing Strategy &amp; Quality Assurance Plan</dc:title>
  <dc:subject>YuvaIntern Week 5 report</dc:subject>
  <dc:creator>Amanjeet</dc:creator>
  <cp:keywords>testing strategy, quality assurance, test cases, internship report</cp:keywords>
  <dc:description>generated by python-docx</dc:description>
  <cp:lastModifiedBy/>
  <cp:revision>1</cp:revision>
  <dcterms:created xsi:type="dcterms:W3CDTF">2013-12-23T23:15:00Z</dcterms:created>
  <dcterms:modified xsi:type="dcterms:W3CDTF">2013-12-23T23:15:00Z</dcterms:modified>
  <cp:category/>
</cp:coreProperties>
</file>