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684212" w14:textId="3884C74E" w:rsidR="00D23C27" w:rsidRPr="00590AAC" w:rsidRDefault="007A5CEA" w:rsidP="00B41F43">
      <w:pPr>
        <w:pStyle w:val="Heading1"/>
        <w:spacing w:after="120" w:line="276" w:lineRule="auto"/>
        <w:jc w:val="center"/>
        <w:rPr>
          <w:b/>
          <w:bCs/>
          <w:color w:val="auto"/>
          <w:sz w:val="28"/>
          <w:szCs w:val="28"/>
        </w:rPr>
      </w:pPr>
      <w:r w:rsidRPr="00590AAC">
        <w:rPr>
          <w:b/>
          <w:bCs/>
          <w:color w:val="auto"/>
          <w:sz w:val="28"/>
          <w:szCs w:val="28"/>
        </w:rPr>
        <w:t>GOLDi FPGA Control Unit – System architecture</w:t>
      </w:r>
    </w:p>
    <w:p w14:paraId="204C6ECA" w14:textId="1AC1B7AB" w:rsidR="007A5CEA" w:rsidRPr="00590AAC" w:rsidRDefault="007A5CEA" w:rsidP="00B41FFE">
      <w:pPr>
        <w:pStyle w:val="Heading2"/>
        <w:spacing w:before="160" w:line="276" w:lineRule="auto"/>
        <w:jc w:val="both"/>
        <w:rPr>
          <w:b/>
          <w:bCs/>
          <w:color w:val="auto"/>
        </w:rPr>
      </w:pPr>
      <w:r w:rsidRPr="00590AAC">
        <w:rPr>
          <w:b/>
          <w:bCs/>
          <w:color w:val="auto"/>
        </w:rPr>
        <w:t>Overview</w:t>
      </w:r>
    </w:p>
    <w:p w14:paraId="0DA91501" w14:textId="4F2FC483" w:rsidR="00E14B5C" w:rsidRPr="00590AAC" w:rsidRDefault="00E14B5C" w:rsidP="00B41FFE">
      <w:pPr>
        <w:jc w:val="both"/>
      </w:pPr>
      <w:r w:rsidRPr="00590AAC">
        <w:t xml:space="preserve">The Grid of Online Laboratory Devices Ilmenau (GOLDi) </w:t>
      </w:r>
      <w:r w:rsidR="004E726B" w:rsidRPr="00590AAC">
        <w:t xml:space="preserve">allows users to develop and test control algorithms for </w:t>
      </w:r>
      <w:r w:rsidRPr="00590AAC">
        <w:t xml:space="preserve">virtual and physical models such as an elevator, a warehouse, etc... At the core of these devices, also called </w:t>
      </w:r>
      <w:r w:rsidR="00952B12" w:rsidRPr="00590AAC">
        <w:t xml:space="preserve">a </w:t>
      </w:r>
      <w:r w:rsidRPr="00590AAC">
        <w:rPr>
          <w:i/>
          <w:iCs/>
        </w:rPr>
        <w:t>GOLDi Model Unit</w:t>
      </w:r>
      <w:r w:rsidRPr="00590AAC">
        <w:t xml:space="preserve">, lies an </w:t>
      </w:r>
      <w:r w:rsidRPr="00590AAC">
        <w:rPr>
          <w:i/>
          <w:iCs/>
        </w:rPr>
        <w:t>FPGA Control Unit</w:t>
      </w:r>
      <w:r w:rsidRPr="00590AAC">
        <w:t xml:space="preserve"> dedicated to processing the signals needed to operate and control the actuators and sensors in the </w:t>
      </w:r>
      <w:r w:rsidR="00952B12" w:rsidRPr="00590AAC">
        <w:t>physical system</w:t>
      </w:r>
      <w:r w:rsidRPr="00590AAC">
        <w:t xml:space="preserve">. </w:t>
      </w:r>
      <w:r w:rsidR="000D3BB3" w:rsidRPr="00590AAC">
        <w:t xml:space="preserve">Given that multiple </w:t>
      </w:r>
      <w:r w:rsidR="00952B12" w:rsidRPr="00590AAC">
        <w:t>M</w:t>
      </w:r>
      <w:r w:rsidR="000D3BB3" w:rsidRPr="00590AAC">
        <w:t xml:space="preserve">odel </w:t>
      </w:r>
      <w:r w:rsidR="00952B12" w:rsidRPr="00590AAC">
        <w:t>U</w:t>
      </w:r>
      <w:r w:rsidR="000D3BB3" w:rsidRPr="00590AAC">
        <w:t xml:space="preserve">nits share similar elements like </w:t>
      </w:r>
      <w:r w:rsidR="004908FA" w:rsidRPr="00590AAC">
        <w:t>stepper</w:t>
      </w:r>
      <w:r w:rsidR="000D3BB3" w:rsidRPr="00590AAC">
        <w:t xml:space="preserve"> motors, incremental encoders, LED lighting, etc.. a common digital architecture for all FPGA</w:t>
      </w:r>
      <w:r w:rsidR="003C666B" w:rsidRPr="00590AAC">
        <w:t>s</w:t>
      </w:r>
      <w:r w:rsidR="000D3BB3" w:rsidRPr="00590AAC">
        <w:t xml:space="preserve"> has been designed. This unified system seeks to simplify the construction of new GOLDi Model Units, provide a standard interface for the microcontroller </w:t>
      </w:r>
      <w:r w:rsidR="008A0B8F" w:rsidRPr="00590AAC">
        <w:t>dedicated to the</w:t>
      </w:r>
      <w:r w:rsidR="000D3BB3" w:rsidRPr="00590AAC">
        <w:t xml:space="preserve"> simulat</w:t>
      </w:r>
      <w:r w:rsidR="008A0B8F" w:rsidRPr="00590AAC">
        <w:t>ion</w:t>
      </w:r>
      <w:r w:rsidR="00F12B0C" w:rsidRPr="00590AAC">
        <w:t xml:space="preserve"> </w:t>
      </w:r>
      <w:r w:rsidR="008A0B8F" w:rsidRPr="00590AAC">
        <w:t>of</w:t>
      </w:r>
      <w:r w:rsidR="000D3BB3" w:rsidRPr="00590AAC">
        <w:t xml:space="preserve"> the user algorithm, and protect the physical model from damage caused by a user error.</w:t>
      </w:r>
    </w:p>
    <w:p w14:paraId="3269113A" w14:textId="14AFE06F" w:rsidR="00952B12" w:rsidRPr="00590AAC" w:rsidRDefault="00952B12" w:rsidP="00B41FFE">
      <w:pPr>
        <w:pStyle w:val="Heading2"/>
        <w:jc w:val="both"/>
        <w:rPr>
          <w:b/>
          <w:bCs/>
          <w:color w:val="auto"/>
        </w:rPr>
      </w:pPr>
      <w:r w:rsidRPr="00590AAC">
        <w:rPr>
          <w:b/>
          <w:bCs/>
          <w:color w:val="auto"/>
        </w:rPr>
        <w:t>The architecture of the system</w:t>
      </w:r>
    </w:p>
    <w:p w14:paraId="7A989D2C" w14:textId="3D35F713" w:rsidR="00E02DF6" w:rsidRPr="00590AAC" w:rsidRDefault="00952B12" w:rsidP="00B41FFE">
      <w:pPr>
        <w:spacing w:after="240"/>
        <w:jc w:val="both"/>
      </w:pPr>
      <w:r w:rsidRPr="00590AAC">
        <w:t xml:space="preserve">The developed architecture is based on a three-tier hierarchical structure that reduces the model unit-specific elements and ensures the reusability of significant sections of the VHDL code. (Figure 1.) </w:t>
      </w:r>
    </w:p>
    <w:p w14:paraId="1B247EED" w14:textId="32453D90" w:rsidR="00E02DF6" w:rsidRPr="00590AAC" w:rsidRDefault="00000000" w:rsidP="00B41FFE">
      <w:pPr>
        <w:spacing w:after="240"/>
        <w:jc w:val="both"/>
      </w:pPr>
      <w:r>
        <w:pict w14:anchorId="6A6F9A41">
          <v:group id="_x0000_s1086" style="width:455.85pt;height:406.3pt;mso-position-horizontal-relative:char;mso-position-vertical-relative:line" coordorigin="1714,7354" coordsize="8372,8126">
            <v:group id="_x0000_s1087" style="position:absolute;left:1714;top:7354;width:8372;height:7456;mso-position-horizontal-relative:margin;mso-position-vertical-relative:margin" coordorigin="1234,3600" coordsize="8372,7456">
              <v:group id="_x0000_s1088" style="position:absolute;left:6289;top:3600;width:3317;height:6236" coordorigin="6289,3669" coordsize="3317,6236">
                <v:roundrect id="_x0000_s1089" style="position:absolute;left:6289;top:3669;width:2835;height:6236" arcsize="10923f" fillcolor="#ed7d31 [3205]"/>
                <v:roundrect id="_x0000_s1090" style="position:absolute;left:6685;top:3841;width:850;height:1701" arcsize="10923f" strokeweight="1pt">
                  <v:textbox style="layout-flow:vertical;mso-layout-flow-alt:bottom-to-top;mso-next-textbox:#_x0000_s1090">
                    <w:txbxContent>
                      <w:p w14:paraId="567D9FA1" w14:textId="77777777" w:rsidR="00E02DF6" w:rsidRPr="00590AAC" w:rsidRDefault="00E02DF6" w:rsidP="00E02DF6">
                        <w:pPr>
                          <w:spacing w:before="100" w:beforeAutospacing="1" w:after="0" w:line="240" w:lineRule="auto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Error detection system</w:t>
                        </w:r>
                      </w:p>
                    </w:txbxContent>
                  </v:textbox>
                </v:roundrect>
                <v:roundrect id="_x0000_s1091" style="position:absolute;left:6685;top:5849;width:850;height:3685" arcsize="10923f" strokeweight="1pt">
                  <v:textbox style="layout-flow:vertical;mso-layout-flow-alt:bottom-to-top;mso-next-textbox:#_x0000_s1091">
                    <w:txbxContent>
                      <w:p w14:paraId="2C61D289" w14:textId="77777777" w:rsidR="00E02DF6" w:rsidRPr="00590AAC" w:rsidRDefault="00E02DF6" w:rsidP="00E02DF6">
                        <w:pPr>
                          <w:spacing w:before="12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Physical model protection system</w:t>
                        </w:r>
                      </w:p>
                    </w:txbxContent>
                  </v:textbox>
                </v:roundrect>
                <v:roundrect id="_x0000_s1092" style="position:absolute;left:8021;top:3865;width:680;height:5669" arcsize="10923f" strokeweight="1pt">
                  <v:textbox style="layout-flow:vertical;mso-layout-flow-alt:bottom-to-top;mso-next-textbox:#_x0000_s1092">
                    <w:txbxContent>
                      <w:p w14:paraId="3FD68C97" w14:textId="77777777" w:rsidR="00E02DF6" w:rsidRPr="00590AAC" w:rsidRDefault="00E02DF6" w:rsidP="00E02DF6">
                        <w:pPr>
                          <w:spacing w:before="40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Tri-state buffers and FPGA pin management</w:t>
                        </w:r>
                      </w:p>
                    </w:txbxContent>
                  </v:textbox>
                </v:roundrect>
                <v:group id="_x0000_s1093" style="position:absolute;left:7586;top:7310;width:397;height:763" coordorigin="7957,6940" coordsize="397,763"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_x0000_s1094" type="#_x0000_t13" style="position:absolute;left:7957;top:6940;width:397;height:283" adj="12960,5433"/>
                  <v:shape id="_x0000_s1095" type="#_x0000_t13" style="position:absolute;left:7957;top:7420;width:397;height:283;flip:x" adj="12960,5433"/>
                </v:group>
                <v:shape id="_x0000_s1096" type="#_x0000_t13" style="position:absolute;left:7586;top:4550;width:397;height:283;flip:x" adj="12960,5433"/>
                <v:shapetype id="_x0000_t69" coordsize="21600,21600" o:spt="69" adj="4320,5400" path="m,10800l@0,21600@0@3@2@3@2,21600,21600,10800@2,0@2@1@0@1@0,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_x0000_s1097" type="#_x0000_t69" style="position:absolute;left:8701;top:6338;width:905;height:723" adj="5513,6005" strokeweight="1pt">
                  <v:textbox style="mso-next-textbox:#_x0000_s1097">
                    <w:txbxContent>
                      <w:p w14:paraId="24DC46E3" w14:textId="77777777" w:rsidR="00E02DF6" w:rsidRPr="00590AAC" w:rsidRDefault="00E02DF6" w:rsidP="00E02DF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rFonts w:cstheme="minorHAnsi"/>
                            <w:sz w:val="20"/>
                            <w:szCs w:val="20"/>
                          </w:rPr>
                          <w:t>IO</w:t>
                        </w:r>
                      </w:p>
                    </w:txbxContent>
                  </v:textbox>
                </v:shape>
              </v:group>
              <v:group id="_x0000_s1098" style="position:absolute;left:1234;top:3600;width:2450;height:6236" coordorigin="1234,3600" coordsize="2450,6236">
                <v:roundrect id="_x0000_s1099" style="position:absolute;left:1728;top:3600;width:1956;height:6236" arcsize="10923f" fillcolor="#2e74b5 [2408]"/>
                <v:roundrect id="_x0000_s1100" style="position:absolute;left:2139;top:5017;width:1134;height:3402" arcsize="10923f" fillcolor="white [3212]" strokeweight="1pt">
                  <v:textbox style="layout-flow:vertical;mso-layout-flow-alt:bottom-to-top;mso-next-textbox:#_x0000_s1100">
                    <w:txbxContent>
                      <w:p w14:paraId="319837A0" w14:textId="77777777" w:rsidR="00E02DF6" w:rsidRPr="00590AAC" w:rsidRDefault="00E02DF6" w:rsidP="00E02DF6">
                        <w:pPr>
                          <w:spacing w:before="120"/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GOLDi Custom SPI Communication</w:t>
                        </w:r>
                      </w:p>
                      <w:p w14:paraId="379AC1B4" w14:textId="77777777" w:rsidR="00E02DF6" w:rsidRPr="00590AAC" w:rsidRDefault="00E02DF6" w:rsidP="00E02DF6">
                        <w:pPr>
                          <w:contextualSpacing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 xml:space="preserve"> GOLDi BUS Control </w:t>
                        </w:r>
                      </w:p>
                    </w:txbxContent>
                  </v:textbox>
                </v:roundrect>
                <v:shape id="_x0000_s1101" type="#_x0000_t69" style="position:absolute;left:1234;top:6357;width:905;height:723" adj="5513,6005" strokeweight="1pt">
                  <v:textbox style="mso-next-textbox:#_x0000_s1101">
                    <w:txbxContent>
                      <w:p w14:paraId="4705E24B" w14:textId="77777777" w:rsidR="00E02DF6" w:rsidRPr="00590AAC" w:rsidRDefault="00E02DF6" w:rsidP="00E02DF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rFonts w:cstheme="minorHAnsi"/>
                            <w:sz w:val="20"/>
                            <w:szCs w:val="20"/>
                          </w:rPr>
                          <w:t>µ</w:t>
                        </w:r>
                        <w:r w:rsidRPr="00590AAC">
                          <w:rPr>
                            <w:sz w:val="20"/>
                            <w:szCs w:val="20"/>
                          </w:rPr>
                          <w:t>C</w:t>
                        </w:r>
                      </w:p>
                    </w:txbxContent>
                  </v:textbox>
                </v:shape>
              </v:group>
              <v:group id="_x0000_s1102" style="position:absolute;left:3273;top:3600;width:3412;height:6236" coordorigin="3273,3600" coordsize="3412,6236">
                <v:group id="_x0000_s1103" style="position:absolute;left:3858;top:3600;width:2268;height:6236" coordorigin="3669,3600" coordsize="2268,6236">
                  <v:roundrect id="_x0000_s1104" style="position:absolute;left:3669;top:3600;width:2268;height:6236" arcsize="10923f" fillcolor="#ffc000 [3207]"/>
                  <v:roundrect id="_x0000_s1105" style="position:absolute;left:4094;top:3868;width:1417;height:680" arcsize="10923f" strokeweight="1pt">
                    <v:textbox style="mso-next-textbox:#_x0000_s1105">
                      <w:txbxContent>
                        <w:p w14:paraId="47C73129" w14:textId="77777777" w:rsidR="00E02DF6" w:rsidRPr="00590AAC" w:rsidRDefault="00E02DF6" w:rsidP="00E02DF6">
                          <w:pPr>
                            <w:spacing w:before="120" w:after="80" w:line="240" w:lineRule="auto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90AAC">
                            <w:rPr>
                              <w:sz w:val="20"/>
                              <w:szCs w:val="20"/>
                            </w:rPr>
                            <w:t>Register</w:t>
                          </w:r>
                        </w:p>
                      </w:txbxContent>
                    </v:textbox>
                  </v:roundrect>
                  <v:roundrect id="_x0000_s1106" style="position:absolute;left:4094;top:4865;width:1417;height:680" arcsize="10923f" strokeweight="1pt">
                    <v:textbox style="mso-next-textbox:#_x0000_s1106">
                      <w:txbxContent>
                        <w:p w14:paraId="3FB5CA89" w14:textId="77777777" w:rsidR="00E02DF6" w:rsidRPr="00590AAC" w:rsidRDefault="00E02DF6" w:rsidP="00E02DF6">
                          <w:pPr>
                            <w:spacing w:before="12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90AAC">
                            <w:rPr>
                              <w:sz w:val="20"/>
                              <w:szCs w:val="20"/>
                            </w:rPr>
                            <w:t>Sensor DSP</w:t>
                          </w:r>
                        </w:p>
                      </w:txbxContent>
                    </v:textbox>
                  </v:roundrect>
                  <v:roundrect id="_x0000_s1107" style="position:absolute;left:4094;top:5863;width:1417;height:680" arcsize="10923f" strokeweight="1pt">
                    <v:textbox style="mso-next-textbox:#_x0000_s1107">
                      <w:txbxContent>
                        <w:p w14:paraId="3C27BF0A" w14:textId="77777777" w:rsidR="00E02DF6" w:rsidRPr="00590AAC" w:rsidRDefault="00E02DF6" w:rsidP="00E02DF6">
                          <w:pPr>
                            <w:spacing w:before="120"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90AAC">
                            <w:rPr>
                              <w:sz w:val="20"/>
                              <w:szCs w:val="20"/>
                            </w:rPr>
                            <w:t>Sensor DSP</w:t>
                          </w:r>
                        </w:p>
                      </w:txbxContent>
                    </v:textbox>
                  </v:roundrect>
                  <v:roundrect id="_x0000_s1108" style="position:absolute;left:4094;top:6861;width:1417;height:680" arcsize="10923f" strokeweight="1pt">
                    <v:textbox style="mso-next-textbox:#_x0000_s1108">
                      <w:txbxContent>
                        <w:p w14:paraId="5BD8B13B" w14:textId="77777777" w:rsidR="00E02DF6" w:rsidRPr="00590AAC" w:rsidRDefault="00E02DF6" w:rsidP="00E02DF6">
                          <w:pPr>
                            <w:spacing w:after="120" w:line="240" w:lineRule="auto"/>
                            <w:contextualSpacing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90AAC">
                            <w:rPr>
                              <w:sz w:val="20"/>
                              <w:szCs w:val="20"/>
                            </w:rPr>
                            <w:t>Actuator Driver</w:t>
                          </w:r>
                        </w:p>
                        <w:p w14:paraId="23141308" w14:textId="77777777" w:rsidR="00E02DF6" w:rsidRPr="00590AAC" w:rsidRDefault="00E02DF6" w:rsidP="00E02DF6"/>
                      </w:txbxContent>
                    </v:textbox>
                  </v:roundrect>
                  <v:roundrect id="_x0000_s1109" style="position:absolute;left:4094;top:7859;width:1417;height:680" arcsize="10923f" strokeweight="1pt">
                    <v:textbox style="mso-next-textbox:#_x0000_s1109">
                      <w:txbxContent>
                        <w:p w14:paraId="542AD147" w14:textId="77777777" w:rsidR="00E02DF6" w:rsidRPr="00590AAC" w:rsidRDefault="00E02DF6" w:rsidP="00E02DF6">
                          <w:pPr>
                            <w:spacing w:after="120" w:line="240" w:lineRule="auto"/>
                            <w:contextualSpacing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90AAC">
                            <w:rPr>
                              <w:sz w:val="20"/>
                              <w:szCs w:val="20"/>
                            </w:rPr>
                            <w:t>Actuator Driver</w:t>
                          </w:r>
                        </w:p>
                      </w:txbxContent>
                    </v:textbox>
                  </v:roundrect>
                  <v:roundrect id="_x0000_s1110" style="position:absolute;left:4094;top:8857;width:1417;height:680" arcsize="10923f" strokeweight="1pt">
                    <v:textbox style="mso-next-textbox:#_x0000_s1110">
                      <w:txbxContent>
                        <w:p w14:paraId="09AB738D" w14:textId="77777777" w:rsidR="00E02DF6" w:rsidRPr="00590AAC" w:rsidRDefault="00E02DF6" w:rsidP="00E02DF6">
                          <w:pPr>
                            <w:spacing w:after="120"/>
                            <w:contextualSpacing/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590AAC">
                            <w:rPr>
                              <w:sz w:val="20"/>
                              <w:szCs w:val="20"/>
                            </w:rPr>
                            <w:t>Actuator Driver</w:t>
                          </w:r>
                        </w:p>
                      </w:txbxContent>
                    </v:textbox>
                  </v:roundrect>
                </v:group>
                <v:shape id="_x0000_s1111" type="#_x0000_t69" style="position:absolute;left:3273;top:6357;width:1069;height:723" adj="5513,6005" strokeweight="1pt">
                  <v:textbox style="mso-next-textbox:#_x0000_s1111">
                    <w:txbxContent>
                      <w:p w14:paraId="117CAB23" w14:textId="77777777" w:rsidR="00E02DF6" w:rsidRPr="00590AAC" w:rsidRDefault="00E02DF6" w:rsidP="00E02DF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rFonts w:cstheme="minorHAnsi"/>
                            <w:sz w:val="20"/>
                            <w:szCs w:val="20"/>
                          </w:rPr>
                          <w:t>BUS</w:t>
                        </w:r>
                      </w:p>
                    </w:txbxContent>
                  </v:textbox>
                </v:shape>
                <v:shape id="_x0000_s1112" type="#_x0000_t69" style="position:absolute;left:5616;top:7330;width:1069;height:723" adj="5513,6005" strokeweight="1pt">
                  <v:textbox style="mso-next-textbox:#_x0000_s1112">
                    <w:txbxContent>
                      <w:p w14:paraId="76BE190E" w14:textId="77777777" w:rsidR="00E02DF6" w:rsidRPr="00590AAC" w:rsidRDefault="00E02DF6" w:rsidP="00E02DF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rFonts w:cstheme="minorHAnsi"/>
                            <w:sz w:val="20"/>
                            <w:szCs w:val="20"/>
                          </w:rPr>
                          <w:t>In/Out</w:t>
                        </w:r>
                      </w:p>
                    </w:txbxContent>
                  </v:textbox>
                </v:shape>
                <v:shape id="_x0000_s1113" type="#_x0000_t13" style="position:absolute;left:5721;top:4330;width:964;height:723" adj="14251,5407" strokeweight="1pt">
                  <v:textbox>
                    <w:txbxContent>
                      <w:p w14:paraId="75D428E4" w14:textId="77777777" w:rsidR="00E02DF6" w:rsidRPr="00590AAC" w:rsidRDefault="00E02DF6" w:rsidP="00E02DF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Out</w:t>
                        </w:r>
                      </w:p>
                    </w:txbxContent>
                  </v:textbox>
                </v:shape>
              </v:group>
              <v:group id="_x0000_s1114" style="position:absolute;left:1728;top:10036;width:7396;height:1020" coordorigin="1728,10167" coordsize="7396,1020">
                <v:roundrect id="_x0000_s1115" style="position:absolute;left:1728;top:10167;width:1984;height:1020" arcsize="10923f" fillcolor="white [3212]" strokecolor="#06c" strokeweight="1.75pt">
                  <v:textbox>
                    <w:txbxContent>
                      <w:p w14:paraId="6731A7F0" w14:textId="77777777" w:rsidR="00E02DF6" w:rsidRPr="00590AAC" w:rsidRDefault="00E02DF6" w:rsidP="00E02DF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Standard FPGA-</w:t>
                        </w:r>
                        <w:r w:rsidRPr="00590AAC">
                          <w:rPr>
                            <w:rFonts w:cstheme="minorHAnsi"/>
                            <w:sz w:val="20"/>
                            <w:szCs w:val="20"/>
                          </w:rPr>
                          <w:t>µ</w:t>
                        </w:r>
                        <w:r w:rsidRPr="00590AAC">
                          <w:rPr>
                            <w:sz w:val="20"/>
                            <w:szCs w:val="20"/>
                          </w:rPr>
                          <w:t>C communication modules</w:t>
                        </w:r>
                      </w:p>
                    </w:txbxContent>
                  </v:textbox>
                </v:roundrect>
                <v:roundrect id="_x0000_s1116" style="position:absolute;left:3866;top:10167;width:2268;height:1020" arcsize="10923f" fillcolor="white [3212]" strokecolor="#fc0" strokeweight="1.75pt">
                  <v:textbox>
                    <w:txbxContent>
                      <w:p w14:paraId="77049ECA" w14:textId="77777777" w:rsidR="00E02DF6" w:rsidRPr="00590AAC" w:rsidRDefault="00E02DF6" w:rsidP="00E02DF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Standard sensor DSP and actuator driver submodules</w:t>
                        </w:r>
                      </w:p>
                    </w:txbxContent>
                  </v:textbox>
                </v:roundrect>
                <v:roundrect id="_x0000_s1117" style="position:absolute;left:6289;top:10167;width:2835;height:1020" arcsize="10923f" fillcolor="white [3212]" strokecolor="#f93" strokeweight="1.75pt">
                  <v:textbox>
                    <w:txbxContent>
                      <w:p w14:paraId="074CAE36" w14:textId="77777777" w:rsidR="00E02DF6" w:rsidRPr="00590AAC" w:rsidRDefault="00E02DF6" w:rsidP="00E02DF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Model specific protection and error detection system and IO routing</w:t>
                        </w:r>
                      </w:p>
                    </w:txbxContent>
                  </v:textbox>
                </v:roundrect>
              </v:group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18" type="#_x0000_t202" style="position:absolute;left:1714;top:15060;width:8372;height:420" stroked="f">
              <v:textbox style="mso-fit-shape-to-text:t" inset="0,0,0,0">
                <w:txbxContent>
                  <w:p w14:paraId="23C406CA" w14:textId="74FC74A0" w:rsidR="00E02DF6" w:rsidRPr="00590AAC" w:rsidRDefault="00E02DF6" w:rsidP="00E02DF6">
                    <w:pPr>
                      <w:pStyle w:val="Caption"/>
                    </w:pPr>
                    <w:r w:rsidRPr="00590AAC">
                      <w:t xml:space="preserve">Figure </w:t>
                    </w:r>
                    <w:r w:rsidRPr="00590AAC">
                      <w:fldChar w:fldCharType="begin"/>
                    </w:r>
                    <w:r w:rsidRPr="00590AAC">
                      <w:instrText xml:space="preserve"> SEQ Figure \* ARABIC </w:instrText>
                    </w:r>
                    <w:r w:rsidRPr="00590AAC">
                      <w:fldChar w:fldCharType="separate"/>
                    </w:r>
                    <w:r w:rsidR="00D15CF0">
                      <w:rPr>
                        <w:noProof/>
                      </w:rPr>
                      <w:t>1</w:t>
                    </w:r>
                    <w:r w:rsidRPr="00590AAC">
                      <w:fldChar w:fldCharType="end"/>
                    </w:r>
                    <w:r w:rsidRPr="00590AAC">
                      <w:t>. Architecture of the FPGA Control Unit for a standard GOLDi Model Unit</w:t>
                    </w:r>
                  </w:p>
                </w:txbxContent>
              </v:textbox>
            </v:shape>
            <w10:wrap anchorx="margin" anchory="margin"/>
            <w10:anchorlock/>
          </v:group>
        </w:pict>
      </w:r>
    </w:p>
    <w:p w14:paraId="19CAE0A6" w14:textId="27E8C59E" w:rsidR="000D3BB3" w:rsidRDefault="00952B12" w:rsidP="00B41FFE">
      <w:pPr>
        <w:jc w:val="both"/>
      </w:pPr>
      <w:r w:rsidRPr="00590AAC">
        <w:lastRenderedPageBreak/>
        <w:t>The first tier of the architecture is comprised of the primary communication modules of the FPGA</w:t>
      </w:r>
      <w:r w:rsidR="00E02DF6" w:rsidRPr="00590AAC">
        <w:t xml:space="preserve"> and encompasses the microcontroller/FPGA interface and the system’s internal bus master interface. The communication with the microcontroller, the device in charge of the </w:t>
      </w:r>
      <w:r w:rsidR="00240D8F" w:rsidRPr="00590AAC">
        <w:t xml:space="preserve">main </w:t>
      </w:r>
      <w:r w:rsidR="00E02DF6" w:rsidRPr="00590AAC">
        <w:t>algorithmic task</w:t>
      </w:r>
      <w:r w:rsidR="00240D8F" w:rsidRPr="00590AAC">
        <w:t>s</w:t>
      </w:r>
      <w:r w:rsidR="00E02DF6" w:rsidRPr="00590AAC">
        <w:t xml:space="preserve">, is achieved through </w:t>
      </w:r>
      <w:r w:rsidR="00C656EF" w:rsidRPr="00590AAC">
        <w:t>a</w:t>
      </w:r>
      <w:r w:rsidR="00E02DF6" w:rsidRPr="00590AAC">
        <w:t xml:space="preserve"> </w:t>
      </w:r>
      <w:r w:rsidR="00C656EF" w:rsidRPr="00590AAC">
        <w:t>serial peripheral interface SPI</w:t>
      </w:r>
      <w:r w:rsidR="00E02DF6" w:rsidRPr="00590AAC">
        <w:t xml:space="preserve"> </w:t>
      </w:r>
      <w:r w:rsidR="00240D8F" w:rsidRPr="00590AAC">
        <w:t>using a dedicated customizable pro</w:t>
      </w:r>
      <w:r w:rsidR="00C656EF" w:rsidRPr="00590AAC">
        <w:t xml:space="preserve">tocol that grants access to the register structures that configure the FPGA system. The SPI protocol </w:t>
      </w:r>
      <w:r w:rsidR="0081764B" w:rsidRPr="00590AAC">
        <w:t xml:space="preserve">is based on </w:t>
      </w:r>
      <w:r w:rsidR="001B6C7C" w:rsidRPr="00590AAC">
        <w:t>several</w:t>
      </w:r>
      <w:r w:rsidR="0081764B" w:rsidRPr="00590AAC">
        <w:t xml:space="preserve"> customizable parameters</w:t>
      </w:r>
      <w:r w:rsidR="00B05644" w:rsidRPr="00590AAC">
        <w:t>, like</w:t>
      </w:r>
      <w:r w:rsidR="000B7773" w:rsidRPr="00590AAC">
        <w:t xml:space="preserve"> the address and data</w:t>
      </w:r>
      <w:r w:rsidR="00B05644" w:rsidRPr="00590AAC">
        <w:t xml:space="preserve"> vector widths</w:t>
      </w:r>
      <w:r w:rsidR="00375441" w:rsidRPr="00590AAC">
        <w:t>. Additionally</w:t>
      </w:r>
      <w:r w:rsidR="00110414" w:rsidRPr="00590AAC">
        <w:t>,</w:t>
      </w:r>
      <w:r w:rsidR="00375441" w:rsidRPr="00590AAC">
        <w:t xml:space="preserve"> multiple data transfer modes</w:t>
      </w:r>
      <w:r w:rsidR="00110414" w:rsidRPr="00590AAC">
        <w:t xml:space="preserve"> are available. The protocol as well as the internal BUS architecture are defined in the </w:t>
      </w:r>
      <w:r w:rsidR="00110414" w:rsidRPr="00590AAC">
        <w:rPr>
          <w:i/>
          <w:iCs/>
        </w:rPr>
        <w:t>GOLDI_COMM_STANDARD</w:t>
      </w:r>
      <w:r w:rsidR="00110414" w:rsidRPr="00590AAC">
        <w:t xml:space="preserve"> VHDL package.</w:t>
      </w:r>
    </w:p>
    <w:p w14:paraId="5CFA98A5" w14:textId="4A67AB18" w:rsidR="002E6A71" w:rsidRPr="0005615B" w:rsidRDefault="002E6A71" w:rsidP="00B41FFE">
      <w:pPr>
        <w:jc w:val="both"/>
        <w:rPr>
          <w:color w:val="FF0000"/>
        </w:rPr>
      </w:pPr>
      <w:r w:rsidRPr="0005615B">
        <w:rPr>
          <w:color w:val="FF0000"/>
        </w:rPr>
        <w:t xml:space="preserve">The </w:t>
      </w:r>
      <w:r w:rsidR="00314671" w:rsidRPr="0005615B">
        <w:rPr>
          <w:color w:val="FF0000"/>
        </w:rPr>
        <w:t xml:space="preserve">communication modules are located in the </w:t>
      </w:r>
      <w:r w:rsidR="00314671" w:rsidRPr="005E0685">
        <w:rPr>
          <w:color w:val="FF0000"/>
          <w:u w:val="single"/>
        </w:rPr>
        <w:t>common/comms</w:t>
      </w:r>
      <w:r w:rsidR="0038517C" w:rsidRPr="005E0685">
        <w:rPr>
          <w:color w:val="FF0000"/>
          <w:u w:val="single"/>
        </w:rPr>
        <w:t>/goldi_spi</w:t>
      </w:r>
      <w:r w:rsidR="0038517C" w:rsidRPr="0005615B">
        <w:rPr>
          <w:color w:val="FF0000"/>
        </w:rPr>
        <w:t xml:space="preserve"> directory.</w:t>
      </w:r>
      <w:r w:rsidR="00D658D9" w:rsidRPr="0005615B">
        <w:rPr>
          <w:color w:val="FF0000"/>
        </w:rPr>
        <w:t xml:space="preserve"> </w:t>
      </w:r>
      <w:r w:rsidR="0038517C" w:rsidRPr="0005615B">
        <w:rPr>
          <w:color w:val="FF0000"/>
        </w:rPr>
        <w:t xml:space="preserve">The GOLDI_SPI_SMODULE </w:t>
      </w:r>
      <w:r w:rsidR="00D658D9" w:rsidRPr="0005615B">
        <w:rPr>
          <w:color w:val="FF0000"/>
        </w:rPr>
        <w:t>acts as the top module and uses two SP_CONVERTES to transform the configuration and data word</w:t>
      </w:r>
      <w:r w:rsidR="009D02F0">
        <w:rPr>
          <w:color w:val="FF0000"/>
        </w:rPr>
        <w:t>s</w:t>
      </w:r>
      <w:r w:rsidR="00D658D9" w:rsidRPr="0005615B">
        <w:rPr>
          <w:color w:val="FF0000"/>
        </w:rPr>
        <w:t xml:space="preserve"> from serial to parallel format. The </w:t>
      </w:r>
      <w:r w:rsidR="00D4553B" w:rsidRPr="0005615B">
        <w:rPr>
          <w:color w:val="FF0000"/>
        </w:rPr>
        <w:t>BUS_ADAPTOR assigns the input data to the correct sub-bus and acts as the master interface of the system BUS. Any changes</w:t>
      </w:r>
      <w:r w:rsidR="0005615B" w:rsidRPr="0005615B">
        <w:rPr>
          <w:color w:val="FF0000"/>
        </w:rPr>
        <w:t xml:space="preserve"> or extensions</w:t>
      </w:r>
      <w:r w:rsidR="00D4553B" w:rsidRPr="0005615B">
        <w:rPr>
          <w:color w:val="FF0000"/>
        </w:rPr>
        <w:t xml:space="preserve"> to the SPI protocol</w:t>
      </w:r>
      <w:r w:rsidR="0005615B" w:rsidRPr="0005615B">
        <w:rPr>
          <w:color w:val="FF0000"/>
        </w:rPr>
        <w:t xml:space="preserve"> require, in theory, changes to the BUS_ADAPTOR only.</w:t>
      </w:r>
      <w:r w:rsidR="00D4553B" w:rsidRPr="0005615B">
        <w:rPr>
          <w:color w:val="FF0000"/>
        </w:rPr>
        <w:t xml:space="preserve"> </w:t>
      </w:r>
    </w:p>
    <w:p w14:paraId="4F7A373E" w14:textId="76B6E1B8" w:rsidR="00110414" w:rsidRDefault="00110414" w:rsidP="00B41FFE">
      <w:pPr>
        <w:jc w:val="both"/>
      </w:pPr>
      <w:r w:rsidRPr="00590AAC">
        <w:t xml:space="preserve">The second tier of the architecture consists of the </w:t>
      </w:r>
      <w:r w:rsidR="005E6C7C" w:rsidRPr="00590AAC">
        <w:t>generalized actuation and DSP submodules</w:t>
      </w:r>
      <w:r w:rsidR="001B6C7C" w:rsidRPr="00590AAC">
        <w:t xml:space="preserve">. These modules </w:t>
      </w:r>
      <w:r w:rsidR="00DE1101" w:rsidRPr="00590AAC">
        <w:t>are</w:t>
      </w:r>
      <w:r w:rsidR="008B4540" w:rsidRPr="00590AAC">
        <w:t xml:space="preserve"> principal elements of the Control Unit</w:t>
      </w:r>
      <w:r w:rsidR="006C6C88" w:rsidRPr="00590AAC">
        <w:t xml:space="preserve">. Each submodule </w:t>
      </w:r>
      <w:r w:rsidR="006C235D" w:rsidRPr="00590AAC">
        <w:t xml:space="preserve">contains the </w:t>
      </w:r>
      <w:r w:rsidR="009F2361" w:rsidRPr="00590AAC">
        <w:t>digital logic needed to operate one of the Model Unit</w:t>
      </w:r>
      <w:r w:rsidR="008C1058" w:rsidRPr="00590AAC">
        <w:t xml:space="preserve">’s elements. For example, the </w:t>
      </w:r>
      <w:r w:rsidR="008C1058" w:rsidRPr="00590AAC">
        <w:rPr>
          <w:i/>
          <w:iCs/>
        </w:rPr>
        <w:t>HBRIDGE_SMODULE</w:t>
      </w:r>
      <w:r w:rsidR="008C1058" w:rsidRPr="00590AAC">
        <w:t xml:space="preserve"> is a</w:t>
      </w:r>
      <w:r w:rsidR="00E62FFC" w:rsidRPr="00590AAC">
        <w:t xml:space="preserve"> DC-Motor driver (H-Bridge driver) </w:t>
      </w:r>
      <w:r w:rsidR="003C7B5F" w:rsidRPr="00590AAC">
        <w:t xml:space="preserve">including the </w:t>
      </w:r>
      <w:r w:rsidR="00540705" w:rsidRPr="00590AAC">
        <w:t xml:space="preserve">digital logic needed to turn the motor on and off, selecting the motor’s direction, and modifying the </w:t>
      </w:r>
      <w:r w:rsidR="00B55D82" w:rsidRPr="00590AAC">
        <w:t xml:space="preserve">motor’s speed. </w:t>
      </w:r>
      <w:r w:rsidR="00394F36" w:rsidRPr="00590AAC">
        <w:t xml:space="preserve">The data needed to configure a given submodule is stored in </w:t>
      </w:r>
      <w:r w:rsidR="003E7D50" w:rsidRPr="00590AAC">
        <w:t>configurable register structures</w:t>
      </w:r>
      <w:r w:rsidR="00D83FCF" w:rsidRPr="00590AAC">
        <w:t xml:space="preserve"> accessible through the system’s main BUS. </w:t>
      </w:r>
      <w:r w:rsidR="0071652A" w:rsidRPr="00590AAC">
        <w:t>An additional characteristic of the submodules is that the output and input signal</w:t>
      </w:r>
      <w:r w:rsidR="00E61CD5" w:rsidRPr="00590AAC">
        <w:t xml:space="preserve">s related to the </w:t>
      </w:r>
      <w:r w:rsidR="00FA48DE" w:rsidRPr="00590AAC">
        <w:t xml:space="preserve">model unit’s elements are routed using custom bi-directional structures defined in the </w:t>
      </w:r>
      <w:r w:rsidR="00FA48DE" w:rsidRPr="00590AAC">
        <w:rPr>
          <w:i/>
          <w:iCs/>
        </w:rPr>
        <w:t xml:space="preserve">GOLDI_IO_STANDARD </w:t>
      </w:r>
      <w:r w:rsidR="00252B52" w:rsidRPr="00590AAC">
        <w:t xml:space="preserve">VHDL package. </w:t>
      </w:r>
      <w:r w:rsidR="00D81F88" w:rsidRPr="00590AAC">
        <w:t>U</w:t>
      </w:r>
      <w:r w:rsidR="00252B52" w:rsidRPr="00590AAC">
        <w:t xml:space="preserve">sing this </w:t>
      </w:r>
      <w:r w:rsidR="00931204" w:rsidRPr="00590AAC">
        <w:t xml:space="preserve">structures </w:t>
      </w:r>
      <w:r w:rsidR="005C486D" w:rsidRPr="00590AAC">
        <w:t xml:space="preserve">allows </w:t>
      </w:r>
      <w:r w:rsidR="005D1444" w:rsidRPr="00590AAC">
        <w:t>the pins of an FPGA can be configured</w:t>
      </w:r>
      <w:r w:rsidR="00524ECB" w:rsidRPr="00590AAC">
        <w:t xml:space="preserve"> as “in</w:t>
      </w:r>
      <w:r w:rsidR="00AF539E" w:rsidRPr="00590AAC">
        <w:t>/</w:t>
      </w:r>
      <w:r w:rsidR="00524ECB" w:rsidRPr="00590AAC">
        <w:t xml:space="preserve">out” pins regardless of the </w:t>
      </w:r>
      <w:r w:rsidR="002854CB" w:rsidRPr="00590AAC">
        <w:t>specific function of it</w:t>
      </w:r>
      <w:r w:rsidR="004D3E95" w:rsidRPr="00590AAC">
        <w:rPr>
          <w:rStyle w:val="FootnoteReference"/>
        </w:rPr>
        <w:footnoteReference w:id="1"/>
      </w:r>
      <w:r w:rsidR="002854CB" w:rsidRPr="00590AAC">
        <w:t xml:space="preserve">. </w:t>
      </w:r>
      <w:r w:rsidR="005C486D" w:rsidRPr="00590AAC">
        <w:t xml:space="preserve">By connecting the pins to a tri-state buffer the submodules automatically </w:t>
      </w:r>
      <w:r w:rsidR="007D1605" w:rsidRPr="00590AAC">
        <w:t xml:space="preserve">select the </w:t>
      </w:r>
      <w:r w:rsidR="00EA57DE" w:rsidRPr="00590AAC">
        <w:t>required</w:t>
      </w:r>
      <w:r w:rsidR="007D1605" w:rsidRPr="00590AAC">
        <w:t xml:space="preserve"> “in”, “out” or “in/out” </w:t>
      </w:r>
      <w:r w:rsidR="00EA57DE" w:rsidRPr="00590AAC">
        <w:t>configuration and allow th</w:t>
      </w:r>
      <w:r w:rsidR="008162CF" w:rsidRPr="00590AAC">
        <w:t xml:space="preserve">e signals to be re-routed </w:t>
      </w:r>
      <w:r w:rsidR="004D3E95" w:rsidRPr="00590AAC">
        <w:t>dynamically using a crossbar element.</w:t>
      </w:r>
    </w:p>
    <w:p w14:paraId="6CBFB4B2" w14:textId="75BF0E05" w:rsidR="009D02F0" w:rsidRPr="00CE7E64" w:rsidRDefault="00CF1CF0" w:rsidP="00B41FFE">
      <w:pPr>
        <w:jc w:val="both"/>
        <w:rPr>
          <w:color w:val="FF0000"/>
        </w:rPr>
      </w:pPr>
      <w:r w:rsidRPr="00CE7E64">
        <w:rPr>
          <w:color w:val="FF0000"/>
        </w:rPr>
        <w:t xml:space="preserve">The </w:t>
      </w:r>
      <w:r w:rsidR="005E0685" w:rsidRPr="00CE7E64">
        <w:rPr>
          <w:color w:val="FF0000"/>
        </w:rPr>
        <w:t xml:space="preserve">submodules can be found in the </w:t>
      </w:r>
      <w:r w:rsidR="005E0685" w:rsidRPr="00CE7E64">
        <w:rPr>
          <w:color w:val="FF0000"/>
          <w:u w:val="single"/>
        </w:rPr>
        <w:t>common</w:t>
      </w:r>
      <w:r w:rsidR="005E0685" w:rsidRPr="00CE7E64">
        <w:rPr>
          <w:color w:val="FF0000"/>
        </w:rPr>
        <w:t xml:space="preserve"> </w:t>
      </w:r>
      <w:r w:rsidR="00585007" w:rsidRPr="00CE7E64">
        <w:rPr>
          <w:color w:val="FF0000"/>
        </w:rPr>
        <w:t>directory. They are characterized by the suffix “_SMODULE”</w:t>
      </w:r>
      <w:r w:rsidR="00FD3C72" w:rsidRPr="00CE7E64">
        <w:rPr>
          <w:color w:val="FF0000"/>
        </w:rPr>
        <w:t xml:space="preserve"> and the use of the “sys_bus_i / sys_bus_o” signals in the port declaration. Additional modules </w:t>
      </w:r>
      <w:r w:rsidR="00C963BC" w:rsidRPr="00CE7E64">
        <w:rPr>
          <w:color w:val="FF0000"/>
        </w:rPr>
        <w:t xml:space="preserve">often with the suffix “_DRIVER” or “_ANALYSER” </w:t>
      </w:r>
      <w:r w:rsidR="00A87A2E" w:rsidRPr="00CE7E64">
        <w:rPr>
          <w:color w:val="FF0000"/>
        </w:rPr>
        <w:t xml:space="preserve">are either encapsulated processed or even </w:t>
      </w:r>
      <w:r w:rsidR="00D80412" w:rsidRPr="00CE7E64">
        <w:rPr>
          <w:color w:val="FF0000"/>
        </w:rPr>
        <w:t xml:space="preserve">DSP modules that are missing the register structures and therefore can not be connected to the BUS directly. However, many of this </w:t>
      </w:r>
      <w:r w:rsidR="00CE7E64" w:rsidRPr="00CE7E64">
        <w:rPr>
          <w:color w:val="FF0000"/>
        </w:rPr>
        <w:t>modules can be easily repurposed for use in other submodules.</w:t>
      </w:r>
    </w:p>
    <w:p w14:paraId="33DF5F43" w14:textId="2E99F62A" w:rsidR="007A5CEA" w:rsidRDefault="00494732" w:rsidP="00B41FFE">
      <w:pPr>
        <w:jc w:val="both"/>
      </w:pPr>
      <w:r w:rsidRPr="00590AAC">
        <w:softHyphen/>
      </w:r>
      <w:r w:rsidR="00DB583E" w:rsidRPr="00590AAC">
        <w:t xml:space="preserve">The third tier of the architecture is the only </w:t>
      </w:r>
      <w:r w:rsidR="00155AA3" w:rsidRPr="00590AAC">
        <w:t>device specific part of the system</w:t>
      </w:r>
      <w:r w:rsidR="00CF0288" w:rsidRPr="00590AAC">
        <w:t xml:space="preserve"> and it consists of the </w:t>
      </w:r>
      <w:r w:rsidR="003A4795" w:rsidRPr="00590AAC">
        <w:t>protection system, error detection system</w:t>
      </w:r>
      <w:r w:rsidR="00335697" w:rsidRPr="00590AAC">
        <w:t>,</w:t>
      </w:r>
      <w:r w:rsidR="003A4795" w:rsidRPr="00590AAC">
        <w:t xml:space="preserve"> the </w:t>
      </w:r>
      <w:r w:rsidR="00EE3D06" w:rsidRPr="00590AAC">
        <w:t>tri-state buffer array</w:t>
      </w:r>
      <w:r w:rsidR="00335697" w:rsidRPr="00590AAC">
        <w:t>,</w:t>
      </w:r>
      <w:r w:rsidR="00500B2B" w:rsidRPr="00590AAC">
        <w:t xml:space="preserve"> and synchronization components</w:t>
      </w:r>
      <w:r w:rsidR="00EE3D06" w:rsidRPr="00590AAC">
        <w:t xml:space="preserve">. </w:t>
      </w:r>
      <w:r w:rsidR="0051332E" w:rsidRPr="00590AAC">
        <w:t xml:space="preserve">The protection and error detection systems are </w:t>
      </w:r>
      <w:r w:rsidR="00612ABD" w:rsidRPr="00590AAC">
        <w:t xml:space="preserve">particular for each </w:t>
      </w:r>
      <w:r w:rsidR="004B36B6" w:rsidRPr="00590AAC">
        <w:t>Model Unit</w:t>
      </w:r>
      <w:r w:rsidR="006420D8" w:rsidRPr="00590AAC">
        <w:t xml:space="preserve">, </w:t>
      </w:r>
      <w:r w:rsidR="00DD3517" w:rsidRPr="00590AAC">
        <w:t xml:space="preserve">taking the submodule outputs and FPGA inputs and </w:t>
      </w:r>
      <w:r w:rsidR="00B41FFE" w:rsidRPr="00590AAC">
        <w:t>disabling certain signals in case an error condition occurs.</w:t>
      </w:r>
      <w:r w:rsidR="00D92997" w:rsidRPr="00590AAC">
        <w:t xml:space="preserve"> A more detailed explanation of each protection and error detection system can be found in the M</w:t>
      </w:r>
      <w:r w:rsidR="008A3FF9" w:rsidRPr="00590AAC">
        <w:t xml:space="preserve">odel Unit’s datasheet. </w:t>
      </w:r>
      <w:r w:rsidR="00F85F0F" w:rsidRPr="00590AAC">
        <w:t>In addition every Model Unit counts with an additional package</w:t>
      </w:r>
      <w:r w:rsidR="00763C8E" w:rsidRPr="00590AAC">
        <w:t xml:space="preserve">, the </w:t>
      </w:r>
      <w:r w:rsidR="00763C8E" w:rsidRPr="00590AAC">
        <w:rPr>
          <w:i/>
          <w:iCs/>
        </w:rPr>
        <w:t>GOLDI_MODULE_CONFIG</w:t>
      </w:r>
      <w:r w:rsidR="00763C8E" w:rsidRPr="00590AAC">
        <w:t xml:space="preserve"> package,</w:t>
      </w:r>
      <w:r w:rsidR="00F85F0F" w:rsidRPr="00590AAC">
        <w:t xml:space="preserve"> </w:t>
      </w:r>
      <w:r w:rsidR="00045D80" w:rsidRPr="00590AAC">
        <w:t xml:space="preserve">containing the addresses of each submodule and the constant values </w:t>
      </w:r>
      <w:r w:rsidR="00763C8E" w:rsidRPr="00590AAC">
        <w:t>required to ins</w:t>
      </w:r>
      <w:r w:rsidR="00CF726B" w:rsidRPr="00590AAC">
        <w:t>tantiate them.</w:t>
      </w:r>
    </w:p>
    <w:p w14:paraId="2A24274A" w14:textId="1DDC49CD" w:rsidR="00CE7E64" w:rsidRPr="00E555AF" w:rsidRDefault="000C7188" w:rsidP="00B41FFE">
      <w:pPr>
        <w:jc w:val="both"/>
        <w:rPr>
          <w:color w:val="FF0000"/>
        </w:rPr>
      </w:pPr>
      <w:r w:rsidRPr="00E555AF">
        <w:rPr>
          <w:color w:val="FF0000"/>
        </w:rPr>
        <w:t>The device specific modules can be found in the source directory of each board</w:t>
      </w:r>
      <w:r w:rsidR="005821F1" w:rsidRPr="00E555AF">
        <w:rPr>
          <w:color w:val="FF0000"/>
        </w:rPr>
        <w:t xml:space="preserve">. The modules are </w:t>
      </w:r>
      <w:r w:rsidR="00674BF9" w:rsidRPr="00E555AF">
        <w:rPr>
          <w:color w:val="FF0000"/>
        </w:rPr>
        <w:t xml:space="preserve">named “ACTUATOR_MASK” and “ERROR_DETECTOR”. </w:t>
      </w:r>
      <w:r w:rsidR="003E401B" w:rsidRPr="00E555AF">
        <w:rPr>
          <w:color w:val="FF0000"/>
        </w:rPr>
        <w:t>In the case of the Warehouse_V2 board</w:t>
      </w:r>
      <w:r w:rsidR="00E555AF" w:rsidRPr="00E555AF">
        <w:rPr>
          <w:color w:val="FF0000"/>
        </w:rPr>
        <w:t xml:space="preserve"> there are</w:t>
      </w:r>
      <w:r w:rsidR="003E401B" w:rsidRPr="00E555AF">
        <w:rPr>
          <w:color w:val="FF0000"/>
        </w:rPr>
        <w:t xml:space="preserve"> additional “ACTUATOR_MASK_D”</w:t>
      </w:r>
      <w:r w:rsidR="00BE10CF" w:rsidRPr="00E555AF">
        <w:rPr>
          <w:color w:val="FF0000"/>
        </w:rPr>
        <w:t>,</w:t>
      </w:r>
      <w:r w:rsidR="003E401B" w:rsidRPr="00E555AF">
        <w:rPr>
          <w:color w:val="FF0000"/>
        </w:rPr>
        <w:t xml:space="preserve"> “ERROR_DETECTOR_D”</w:t>
      </w:r>
      <w:r w:rsidR="00BE10CF" w:rsidRPr="00E555AF">
        <w:rPr>
          <w:color w:val="FF0000"/>
        </w:rPr>
        <w:t>, and “WH_SENSOR</w:t>
      </w:r>
      <w:r w:rsidR="00DF3876" w:rsidRPr="00E555AF">
        <w:rPr>
          <w:color w:val="FF0000"/>
        </w:rPr>
        <w:t>_ARRAY”</w:t>
      </w:r>
      <w:r w:rsidR="00E555AF" w:rsidRPr="00E555AF">
        <w:rPr>
          <w:color w:val="FF0000"/>
        </w:rPr>
        <w:t xml:space="preserve"> modules.</w:t>
      </w:r>
      <w:r w:rsidR="00DF3876" w:rsidRPr="00E555AF">
        <w:rPr>
          <w:color w:val="FF0000"/>
        </w:rPr>
        <w:t xml:space="preserve"> </w:t>
      </w:r>
    </w:p>
    <w:p w14:paraId="384E90A7" w14:textId="503653B0" w:rsidR="008C38A3" w:rsidRPr="00590AAC" w:rsidRDefault="00651273" w:rsidP="00393B00">
      <w:pPr>
        <w:jc w:val="both"/>
      </w:pPr>
      <w:r w:rsidRPr="00590AAC">
        <w:lastRenderedPageBreak/>
        <w:t xml:space="preserve">The described architecture has the </w:t>
      </w:r>
      <w:r w:rsidR="008C1E2F" w:rsidRPr="00590AAC">
        <w:t xml:space="preserve">It allows developers to extend </w:t>
      </w:r>
      <w:r w:rsidR="00133754" w:rsidRPr="00590AAC">
        <w:t xml:space="preserve">the primary communication modules without </w:t>
      </w:r>
      <w:r w:rsidR="00ED5A99" w:rsidRPr="00590AAC">
        <w:t xml:space="preserve">changing </w:t>
      </w:r>
      <w:r w:rsidR="000E23B3" w:rsidRPr="00590AAC">
        <w:t>each</w:t>
      </w:r>
      <w:r w:rsidR="00ED5A99" w:rsidRPr="00590AAC">
        <w:t xml:space="preserve"> </w:t>
      </w:r>
      <w:r w:rsidR="000E23B3" w:rsidRPr="00590AAC">
        <w:t xml:space="preserve">signal driver, it </w:t>
      </w:r>
      <w:r w:rsidR="001F5DBB" w:rsidRPr="00590AAC">
        <w:t>lets</w:t>
      </w:r>
      <w:r w:rsidR="00877855" w:rsidRPr="00590AAC">
        <w:t xml:space="preserve"> new actuator or sensor drivers  be intro</w:t>
      </w:r>
      <w:r w:rsidR="00B468C4" w:rsidRPr="00590AAC">
        <w:t xml:space="preserve">duced </w:t>
      </w:r>
      <w:r w:rsidR="00B1744F" w:rsidRPr="00590AAC">
        <w:t xml:space="preserve">for </w:t>
      </w:r>
      <w:r w:rsidR="00E96CB1" w:rsidRPr="00590AAC">
        <w:t>multiple Model Units at once,</w:t>
      </w:r>
      <w:r w:rsidR="001F5DBB" w:rsidRPr="00590AAC">
        <w:t xml:space="preserve"> and it </w:t>
      </w:r>
      <w:r w:rsidR="00E96CB1" w:rsidRPr="00590AAC">
        <w:t xml:space="preserve"> </w:t>
      </w:r>
      <w:r w:rsidR="00E064BF" w:rsidRPr="00590AAC">
        <w:t xml:space="preserve">prevents damage to the physical model </w:t>
      </w:r>
      <w:r w:rsidR="006E55BB" w:rsidRPr="00590AAC">
        <w:t xml:space="preserve">regardless of modifications to the </w:t>
      </w:r>
      <w:r w:rsidR="00F2799C" w:rsidRPr="00590AAC">
        <w:t>submodules.</w:t>
      </w:r>
    </w:p>
    <w:p w14:paraId="40BD6A8E" w14:textId="2BFAFF72" w:rsidR="00CF726B" w:rsidRPr="00590AAC" w:rsidRDefault="0082606D" w:rsidP="00393B00">
      <w:pPr>
        <w:pStyle w:val="Heading2"/>
        <w:jc w:val="both"/>
        <w:rPr>
          <w:b/>
          <w:bCs/>
          <w:color w:val="auto"/>
        </w:rPr>
      </w:pPr>
      <w:r w:rsidRPr="00590AAC">
        <w:rPr>
          <w:b/>
          <w:bCs/>
          <w:color w:val="auto"/>
        </w:rPr>
        <w:t>GOLDi SPI Protocol</w:t>
      </w:r>
      <w:r w:rsidR="006C1726" w:rsidRPr="00590AAC">
        <w:rPr>
          <w:b/>
          <w:bCs/>
          <w:color w:val="auto"/>
        </w:rPr>
        <w:t xml:space="preserve"> and GOLDi BUS</w:t>
      </w:r>
    </w:p>
    <w:p w14:paraId="3815A66E" w14:textId="5A23F62A" w:rsidR="00B41F43" w:rsidRDefault="00C927F9" w:rsidP="00393B00">
      <w:pPr>
        <w:jc w:val="both"/>
      </w:pPr>
      <w:r>
        <w:t>The GOLDi SPI Protocol consi</w:t>
      </w:r>
      <w:r w:rsidR="00621E7B">
        <w:t>st of a configuration word and one or more data words transferred in an SPI transaction</w:t>
      </w:r>
      <w:r w:rsidR="00724048">
        <w:t xml:space="preserve">, defined as the data transferred </w:t>
      </w:r>
      <w:r w:rsidR="009001AA">
        <w:t xml:space="preserve">in the period </w:t>
      </w:r>
      <w:r w:rsidR="00724048">
        <w:t>between a falling and rising edge</w:t>
      </w:r>
      <w:r w:rsidR="003D7B82">
        <w:t xml:space="preserve"> on the chip select </w:t>
      </w:r>
      <w:r w:rsidR="009001AA">
        <w:t>(</w:t>
      </w:r>
      <w:r w:rsidR="003D7B82">
        <w:t>nCE</w:t>
      </w:r>
      <w:r w:rsidR="009001AA">
        <w:t>)</w:t>
      </w:r>
      <w:r w:rsidR="003D7B82">
        <w:t xml:space="preserve"> signal.</w:t>
      </w:r>
      <w:r w:rsidR="00664E45">
        <w:t xml:space="preserve"> The communication with the FPGA is controller by the configuration word at the beginning of each SPI transaction. This input data configures the type of transaction in progress, the register</w:t>
      </w:r>
      <w:r w:rsidR="008535DF">
        <w:t xml:space="preserve">s to be accessed during the data transfer, and additional tag modifiers </w:t>
      </w:r>
      <w:r w:rsidR="00BB4CD8">
        <w:t>that change the behavior of the stored data.</w:t>
      </w:r>
      <w:r w:rsidR="008535DF">
        <w:t xml:space="preserve"> </w:t>
      </w:r>
    </w:p>
    <w:p w14:paraId="3196A654" w14:textId="7D4D3291" w:rsidR="004110FC" w:rsidRDefault="00BB4CD8" w:rsidP="00393B00">
      <w:pPr>
        <w:jc w:val="both"/>
      </w:pPr>
      <w:r>
        <w:t>The configuration word starts with the write enable (WE) tag, which sele</w:t>
      </w:r>
      <w:r w:rsidR="000A0D61">
        <w:t xml:space="preserve">cts if the operation is read-only (WE=0) or a read-write (WE=1) type operation. </w:t>
      </w:r>
    </w:p>
    <w:p w14:paraId="499B582E" w14:textId="4B113B6A" w:rsidR="004110FC" w:rsidRDefault="00000000" w:rsidP="00393B00">
      <w:pPr>
        <w:jc w:val="both"/>
      </w:pPr>
      <w:r>
        <w:pict w14:anchorId="311D8EAC">
          <v:group id="_x0000_s1152" style="width:459.85pt;height:82.2pt;mso-position-horizontal-relative:char;mso-position-vertical-relative:line" coordorigin="1502,12070" coordsize="9197,1644">
            <v:group id="_x0000_s1153" style="position:absolute;left:1502;top:12070;width:9197;height:1134" coordorigin="1502,12070" coordsize="9197,1134">
              <v:rect id="_x0000_s1154" style="position:absolute;left:1502;top:12070;width:4989;height:1134" fillcolor="#0070c0">
                <v:textbox style="mso-next-textbox:#_x0000_s1154">
                  <w:txbxContent>
                    <w:p w14:paraId="55F71714" w14:textId="77777777" w:rsidR="00435C25" w:rsidRPr="00590AAC" w:rsidRDefault="00435C25" w:rsidP="00435C25">
                      <w:pPr>
                        <w:rPr>
                          <w:color w:val="FFFFFF" w:themeColor="background1"/>
                        </w:rPr>
                      </w:pPr>
                      <w:r w:rsidRPr="00590AAC">
                        <w:rPr>
                          <w:color w:val="FFFFFF" w:themeColor="background1"/>
                        </w:rPr>
                        <w:t>Configuration word</w:t>
                      </w:r>
                    </w:p>
                  </w:txbxContent>
                </v:textbox>
              </v:rect>
              <v:rect id="_x0000_s1155" style="position:absolute;left:1620;top:12507;width:567;height:567">
                <v:textbox style="mso-next-textbox:#_x0000_s1155">
                  <w:txbxContent>
                    <w:p w14:paraId="033D35C2" w14:textId="77777777" w:rsidR="00435C25" w:rsidRPr="00590AAC" w:rsidRDefault="00435C25" w:rsidP="00435C25">
                      <w:pPr>
                        <w:spacing w:before="8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590AAC">
                        <w:rPr>
                          <w:sz w:val="18"/>
                          <w:szCs w:val="18"/>
                        </w:rPr>
                        <w:t>WE</w:t>
                      </w:r>
                    </w:p>
                  </w:txbxContent>
                </v:textbox>
              </v:rect>
              <v:rect id="_x0000_s1156" style="position:absolute;left:2279;top:12507;width:567;height:567">
                <v:textbox style="mso-next-textbox:#_x0000_s1156">
                  <w:txbxContent>
                    <w:p w14:paraId="5E43FEA2" w14:textId="77777777" w:rsidR="00435C25" w:rsidRPr="00590AAC" w:rsidRDefault="00435C25" w:rsidP="00435C25">
                      <w:pPr>
                        <w:spacing w:before="80"/>
                        <w:jc w:val="center"/>
                        <w:rPr>
                          <w:sz w:val="14"/>
                          <w:szCs w:val="14"/>
                        </w:rPr>
                      </w:pPr>
                      <w:r w:rsidRPr="00590AAC">
                        <w:rPr>
                          <w:sz w:val="18"/>
                          <w:szCs w:val="18"/>
                        </w:rPr>
                        <w:t>SE</w:t>
                      </w:r>
                    </w:p>
                  </w:txbxContent>
                </v:textbox>
              </v:rect>
              <v:rect id="_x0000_s1157" style="position:absolute;left:2937;top:12507;width:1134;height:567">
                <v:textbox style="mso-next-textbox:#_x0000_s1157">
                  <w:txbxContent>
                    <w:p w14:paraId="718C7EAB" w14:textId="77777777" w:rsidR="00435C25" w:rsidRPr="00590AAC" w:rsidRDefault="00435C25" w:rsidP="00435C25">
                      <w:pPr>
                        <w:spacing w:before="8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90AAC">
                        <w:rPr>
                          <w:sz w:val="18"/>
                          <w:szCs w:val="18"/>
                        </w:rPr>
                        <w:t>TAG</w:t>
                      </w:r>
                    </w:p>
                  </w:txbxContent>
                </v:textbox>
              </v:rect>
              <v:rect id="_x0000_s1158" style="position:absolute;left:6560;top:12070;width:4139;height:1134" fillcolor="#ed7d31 [3205]">
                <v:textbox style="mso-next-textbox:#_x0000_s1158">
                  <w:txbxContent>
                    <w:p w14:paraId="35E45398" w14:textId="77777777" w:rsidR="00435C25" w:rsidRPr="00590AAC" w:rsidRDefault="00435C25" w:rsidP="00435C25">
                      <w:pPr>
                        <w:rPr>
                          <w:color w:val="FFFFFF" w:themeColor="background1"/>
                        </w:rPr>
                      </w:pPr>
                      <w:r w:rsidRPr="00590AAC">
                        <w:rPr>
                          <w:color w:val="FFFFFF" w:themeColor="background1"/>
                        </w:rPr>
                        <w:t>Data words</w:t>
                      </w:r>
                    </w:p>
                  </w:txbxContent>
                </v:textbox>
              </v:rect>
              <v:rect id="_x0000_s1159" style="position:absolute;left:4163;top:12507;width:2268;height:567">
                <v:textbox style="mso-next-textbox:#_x0000_s1159">
                  <w:txbxContent>
                    <w:p w14:paraId="1367B03C" w14:textId="77777777" w:rsidR="00435C25" w:rsidRPr="00590AAC" w:rsidRDefault="00435C25" w:rsidP="00435C25">
                      <w:pPr>
                        <w:spacing w:before="8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90AAC">
                        <w:rPr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</v:rect>
              <v:rect id="_x0000_s1160" style="position:absolute;left:6629;top:12507;width:3969;height:567">
                <v:textbox style="mso-next-textbox:#_x0000_s1160">
                  <w:txbxContent>
                    <w:p w14:paraId="0BE0A240" w14:textId="77777777" w:rsidR="00435C25" w:rsidRPr="00590AAC" w:rsidRDefault="00435C25" w:rsidP="00435C25">
                      <w:pPr>
                        <w:spacing w:before="80"/>
                        <w:jc w:val="center"/>
                        <w:rPr>
                          <w:sz w:val="18"/>
                          <w:szCs w:val="18"/>
                        </w:rPr>
                      </w:pPr>
                      <w:r w:rsidRPr="00590AAC">
                        <w:rPr>
                          <w:sz w:val="18"/>
                          <w:szCs w:val="18"/>
                        </w:rPr>
                        <w:t>DATA</w:t>
                      </w:r>
                    </w:p>
                  </w:txbxContent>
                </v:textbox>
              </v:rect>
            </v:group>
            <v:shape id="_x0000_s1161" type="#_x0000_t202" style="position:absolute;left:1502;top:13294;width:9197;height:420;mso-position-horizontal-relative:text;mso-position-vertical-relative:text" stroked="f">
              <v:textbox style="mso-next-textbox:#_x0000_s1161;mso-fit-shape-to-text:t" inset="0,0,0,0">
                <w:txbxContent>
                  <w:p w14:paraId="43BD2A6C" w14:textId="065534A8" w:rsidR="00435C25" w:rsidRPr="00FC2EEF" w:rsidRDefault="00435C25" w:rsidP="00435C25">
                    <w:pPr>
                      <w:pStyle w:val="Caption"/>
                      <w:rPr>
                        <w:noProof/>
                      </w:rPr>
                    </w:pPr>
                    <w:r>
                      <w:t xml:space="preserve">Figure </w:t>
                    </w: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 w:rsidR="00D15CF0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  <w:r>
                      <w:t>. GOLDi SPI Protocol</w:t>
                    </w:r>
                  </w:p>
                </w:txbxContent>
              </v:textbox>
            </v:shape>
            <w10:wrap anchorx="margin" anchory="margin"/>
            <w10:anchorlock/>
          </v:group>
        </w:pict>
      </w:r>
      <w:r w:rsidR="004110FC">
        <w:t>The second bit, the stream</w:t>
      </w:r>
      <w:r w:rsidR="00BF41E4">
        <w:t>-</w:t>
      </w:r>
      <w:r w:rsidR="004110FC">
        <w:t xml:space="preserve">enable (SE) tag, selects the behavior of the SPI communication module when multiple data words are transferred in a single SPI transaction. When the multi-register mode is </w:t>
      </w:r>
      <w:r w:rsidR="0011472D">
        <w:t xml:space="preserve">selected (SE=0), the provided address acts as the initial register </w:t>
      </w:r>
      <w:r w:rsidR="003A735E">
        <w:t xml:space="preserve">to be accessed. After the data word has been transferred, the </w:t>
      </w:r>
      <w:r w:rsidR="00E64C0A">
        <w:t xml:space="preserve">internal communication modules decrease the address value by one and the next register is accessed. </w:t>
      </w:r>
      <w:r w:rsidR="00BD29D9">
        <w:t>This data transfer mode simplifies the data transfer to a submodule with multiple registers and data formats. In contrast</w:t>
      </w:r>
      <w:r w:rsidR="00254EC1">
        <w:t>, when the stream mode is selected (SE=1), only the addressed register is accessed and the stored data is overwritten/read after</w:t>
      </w:r>
      <w:r w:rsidR="004B4201">
        <w:t xml:space="preserve"> every data word has been transferred. This data transfer mode is used primarily to transfer large data vectors to secondary communication submodules that configure ICs or other electronics. The submodules </w:t>
      </w:r>
      <w:r w:rsidR="00435C25">
        <w:t>often</w:t>
      </w:r>
      <w:r w:rsidR="004B4201">
        <w:t xml:space="preserve"> have queue structures that prevent data loses. </w:t>
      </w:r>
    </w:p>
    <w:p w14:paraId="193ABCFC" w14:textId="77777777" w:rsidR="009E6698" w:rsidRDefault="004B4201" w:rsidP="00393B00">
      <w:pPr>
        <w:jc w:val="both"/>
      </w:pPr>
      <w:r>
        <w:t xml:space="preserve">The </w:t>
      </w:r>
      <w:r w:rsidR="00BF41E4">
        <w:t>steam</w:t>
      </w:r>
      <w:r>
        <w:t xml:space="preserve">-enable </w:t>
      </w:r>
      <w:r w:rsidR="00BF41E4">
        <w:t xml:space="preserve">tag is followed by a series of multi-purpose tags that are applied to </w:t>
      </w:r>
      <w:r w:rsidR="00FF4D0A">
        <w:t xml:space="preserve">all </w:t>
      </w:r>
      <w:r w:rsidR="00BF41E4">
        <w:t xml:space="preserve">the data words </w:t>
      </w:r>
      <w:r w:rsidR="00FF4D0A">
        <w:t>in the transactio</w:t>
      </w:r>
      <w:r w:rsidR="00393B00">
        <w:t xml:space="preserve">n. </w:t>
      </w:r>
      <w:r w:rsidR="00650B56">
        <w:t>The configuration word is finished by the</w:t>
      </w:r>
      <w:r w:rsidR="00393B00">
        <w:t xml:space="preserve"> address vector.</w:t>
      </w:r>
    </w:p>
    <w:p w14:paraId="23F11B30" w14:textId="21533478" w:rsidR="00650B56" w:rsidRDefault="009E6698" w:rsidP="00393B00">
      <w:pPr>
        <w:jc w:val="both"/>
      </w:pPr>
      <w:r>
        <w:t>The GOLDi SPI Protocol is a customizable protocol, therefore the exact widths of the address, tag, and data words can be modified in the GOLDI_COMM_STANDARD package when change to the BUS_ADDRESS_WIDTH, BUS_TAG_BITS, or SYSTEM_DATA_WIDTH</w:t>
      </w:r>
      <w:r w:rsidR="00650B56">
        <w:t xml:space="preserve"> </w:t>
      </w:r>
      <w:r>
        <w:t>is performed.</w:t>
      </w:r>
    </w:p>
    <w:p w14:paraId="6CFF2457" w14:textId="77777777" w:rsidR="00FC0752" w:rsidRDefault="00FC0752" w:rsidP="00393B00">
      <w:pPr>
        <w:jc w:val="both"/>
      </w:pPr>
    </w:p>
    <w:p w14:paraId="1DAE8D56" w14:textId="089CCC26" w:rsidR="00435C25" w:rsidRPr="00590AAC" w:rsidRDefault="00000000" w:rsidP="00393B00">
      <w:pPr>
        <w:jc w:val="both"/>
      </w:pPr>
      <w:r>
        <w:rPr>
          <w:noProof/>
        </w:rPr>
        <w:pict w14:anchorId="366DD38B">
          <v:group id="_x0000_s1193" style="position:absolute;left:0;text-align:left;margin-left:0;margin-top:.6pt;width:273.6pt;height:167.8pt;z-index:251658240;mso-position-horizontal:center;mso-position-horizontal-relative:margin" coordorigin="1440,11081" coordsize="5472,3356">
            <v:group id="_x0000_s1191" style="position:absolute;left:1440;top:11081;width:5457;height:2835;mso-position-horizontal-relative:char;mso-position-vertical-relative:line" coordorigin="1853,11480" coordsize="5457,2835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182" type="#_x0000_t32" style="position:absolute;left:3730;top:11669;width:1660;height:0" o:connectortype="straight">
                <v:stroke endarrow="block"/>
              </v:shape>
              <v:shape id="_x0000_s1183" type="#_x0000_t32" style="position:absolute;left:3730;top:12078;width:1660;height:0" o:connectortype="straight">
                <v:stroke endarrow="block"/>
              </v:shape>
              <v:shape id="_x0000_s1184" type="#_x0000_t32" style="position:absolute;left:3730;top:12488;width:1660;height:0" o:connectortype="straight">
                <v:stroke endarrow="block"/>
              </v:shape>
              <v:shape id="_x0000_s1185" type="#_x0000_t32" style="position:absolute;left:3730;top:12892;width:1660;height:454" o:connectortype="straight">
                <v:stroke endarrow="block"/>
              </v:shape>
              <v:group id="_x0000_s1189" style="position:absolute;left:1853;top:11480;width:1701;height:2835" coordorigin="1853,11480" coordsize="1701,2835">
                <v:rect id="_x0000_s1119" style="position:absolute;left:1853;top:11480;width:1701;height:2835">
                  <v:textbox style="layout-flow:vertical;mso-layout-flow-alt:bottom-to-top;mso-next-textbox:#_x0000_s1119">
                    <w:txbxContent>
                      <w:p w14:paraId="3805E005" w14:textId="2A52F1EA" w:rsidR="00304FE6" w:rsidRPr="00590AAC" w:rsidRDefault="00304FE6" w:rsidP="00304FE6">
                        <w:pPr>
                          <w:jc w:val="center"/>
                        </w:pPr>
                        <w:r w:rsidRPr="00590AAC">
                          <w:t>master</w:t>
                        </w:r>
                      </w:p>
                    </w:txbxContent>
                  </v:textbox>
                </v:rect>
                <v:shape id="Text Box 2" o:spid="_x0000_s1121" type="#_x0000_t202" style="position:absolute;left:2800;top:11480;width:615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Text Box 2">
                    <w:txbxContent>
                      <w:p w14:paraId="50E13499" w14:textId="4F679557" w:rsidR="00386A64" w:rsidRPr="00590AAC" w:rsidRDefault="00386A64" w:rsidP="00386A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STB</w:t>
                        </w:r>
                      </w:p>
                    </w:txbxContent>
                  </v:textbox>
                </v:shape>
                <v:shape id="_x0000_s1122" type="#_x0000_t202" style="position:absolute;left:2800;top:11889;width:615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22">
                    <w:txbxContent>
                      <w:p w14:paraId="3E9997B4" w14:textId="758DA699" w:rsidR="00386A64" w:rsidRPr="00590AAC" w:rsidRDefault="00386A64" w:rsidP="00386A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WE</w:t>
                        </w:r>
                      </w:p>
                    </w:txbxContent>
                  </v:textbox>
                </v:shape>
                <v:shape id="_x0000_s1123" type="#_x0000_t202" style="position:absolute;left:2763;top:12299;width:688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23">
                    <w:txbxContent>
                      <w:p w14:paraId="039E78D3" w14:textId="170381A5" w:rsidR="00386A64" w:rsidRPr="00590AAC" w:rsidRDefault="00386A64" w:rsidP="00386A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ADR</w:t>
                        </w:r>
                      </w:p>
                    </w:txbxContent>
                  </v:textbox>
                </v:shape>
                <v:shape id="_x0000_s1124" type="#_x0000_t202" style="position:absolute;left:2710;top:13118;width:795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24">
                    <w:txbxContent>
                      <w:p w14:paraId="2A21760E" w14:textId="1A4CF71E" w:rsidR="00386A64" w:rsidRPr="00590AAC" w:rsidRDefault="00386A64" w:rsidP="00386A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TAG</w:t>
                        </w:r>
                        <w:r w:rsidR="003A20BD" w:rsidRPr="00590AAC">
                          <w:rPr>
                            <w:sz w:val="20"/>
                            <w:szCs w:val="20"/>
                          </w:rPr>
                          <w:t>_I</w:t>
                        </w:r>
                      </w:p>
                    </w:txbxContent>
                  </v:textbox>
                </v:shape>
                <v:shape id="_x0000_s1125" type="#_x0000_t202" style="position:absolute;left:2722;top:13937;width:770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25">
                    <w:txbxContent>
                      <w:p w14:paraId="3B16A934" w14:textId="14C50823" w:rsidR="00386A64" w:rsidRPr="00590AAC" w:rsidRDefault="00386A64" w:rsidP="00386A64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DAT</w:t>
                        </w:r>
                        <w:r w:rsidR="0077327E" w:rsidRPr="00590AAC">
                          <w:rPr>
                            <w:sz w:val="20"/>
                            <w:szCs w:val="20"/>
                          </w:rPr>
                          <w:t>_I</w:t>
                        </w:r>
                      </w:p>
                    </w:txbxContent>
                  </v:textbox>
                </v:shape>
                <v:shape id="_x0000_s1126" type="#_x0000_t202" style="position:absolute;left:2660;top:13527;width:894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26">
                    <w:txbxContent>
                      <w:p w14:paraId="59F9F19A" w14:textId="4C00AF9B" w:rsidR="0077327E" w:rsidRPr="00590AAC" w:rsidRDefault="0077327E" w:rsidP="0077327E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DAT_O</w:t>
                        </w:r>
                      </w:p>
                    </w:txbxContent>
                  </v:textbox>
                </v:shape>
                <v:shape id="_x0000_s1127" type="#_x0000_t202" style="position:absolute;left:2680;top:12708;width:855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27">
                    <w:txbxContent>
                      <w:p w14:paraId="2BCEBA98" w14:textId="0A3E06FF" w:rsidR="003A20BD" w:rsidRPr="00590AAC" w:rsidRDefault="003A20BD" w:rsidP="003A20BD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TAG_O</w:t>
                        </w:r>
                      </w:p>
                    </w:txbxContent>
                  </v:textbox>
                </v:shape>
              </v:group>
              <v:group id="_x0000_s1190" style="position:absolute;left:5609;top:11480;width:1701;height:2835" coordorigin="5609,11480" coordsize="1701,2835">
                <v:rect id="_x0000_s1173" style="position:absolute;left:5609;top:11480;width:1701;height:2835;mso-position-horizontal:center;mso-position-horizontal-relative:margin">
                  <v:textbox style="layout-flow:vertical;mso-next-textbox:#_x0000_s1173">
                    <w:txbxContent>
                      <w:p w14:paraId="0AA88FCD" w14:textId="3596F4D3" w:rsidR="0084308F" w:rsidRPr="0084308F" w:rsidRDefault="0084308F" w:rsidP="0084308F">
                        <w:pPr>
                          <w:jc w:val="center"/>
                        </w:pPr>
                        <w:r w:rsidRPr="0084308F">
                          <w:t>slave</w:t>
                        </w:r>
                      </w:p>
                    </w:txbxContent>
                  </v:textbox>
                </v:rect>
                <v:shape id="Text Box 2" o:spid="_x0000_s1174" type="#_x0000_t202" style="position:absolute;left:5609;top:11480;width:615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>
                    <w:txbxContent>
                      <w:p w14:paraId="7FA15BB9" w14:textId="77777777" w:rsidR="0084308F" w:rsidRPr="00590AAC" w:rsidRDefault="0084308F" w:rsidP="0084308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STB</w:t>
                        </w:r>
                      </w:p>
                    </w:txbxContent>
                  </v:textbox>
                </v:shape>
                <v:shape id="_x0000_s1175" type="#_x0000_t202" style="position:absolute;left:5609;top:11889;width:615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75">
                    <w:txbxContent>
                      <w:p w14:paraId="6C48C782" w14:textId="77777777" w:rsidR="0084308F" w:rsidRPr="00590AAC" w:rsidRDefault="0084308F" w:rsidP="0084308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WE</w:t>
                        </w:r>
                      </w:p>
                    </w:txbxContent>
                  </v:textbox>
                </v:shape>
                <v:shape id="_x0000_s1176" type="#_x0000_t202" style="position:absolute;left:5609;top:12299;width:688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76">
                    <w:txbxContent>
                      <w:p w14:paraId="3F1AB772" w14:textId="77777777" w:rsidR="0084308F" w:rsidRPr="00590AAC" w:rsidRDefault="0084308F" w:rsidP="0084308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ADR</w:t>
                        </w:r>
                      </w:p>
                    </w:txbxContent>
                  </v:textbox>
                </v:shape>
                <v:shape id="_x0000_s1177" type="#_x0000_t202" style="position:absolute;left:5609;top:13118;width:795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77">
                    <w:txbxContent>
                      <w:p w14:paraId="7EFC5592" w14:textId="77777777" w:rsidR="0084308F" w:rsidRPr="00590AAC" w:rsidRDefault="0084308F" w:rsidP="0084308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TAG_I</w:t>
                        </w:r>
                      </w:p>
                    </w:txbxContent>
                  </v:textbox>
                </v:shape>
                <v:shape id="_x0000_s1178" type="#_x0000_t202" style="position:absolute;left:5609;top:13937;width:770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78">
                    <w:txbxContent>
                      <w:p w14:paraId="316BB4FB" w14:textId="77777777" w:rsidR="0084308F" w:rsidRPr="00590AAC" w:rsidRDefault="0084308F" w:rsidP="0084308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DAT_I</w:t>
                        </w:r>
                      </w:p>
                    </w:txbxContent>
                  </v:textbox>
                </v:shape>
                <v:shape id="_x0000_s1179" type="#_x0000_t202" style="position:absolute;left:5609;top:13527;width:894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79">
                    <w:txbxContent>
                      <w:p w14:paraId="0C0ACD3D" w14:textId="77777777" w:rsidR="0084308F" w:rsidRPr="00590AAC" w:rsidRDefault="0084308F" w:rsidP="0084308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DAT_O</w:t>
                        </w:r>
                      </w:p>
                    </w:txbxContent>
                  </v:textbox>
                </v:shape>
                <v:shape id="_x0000_s1180" type="#_x0000_t202" style="position:absolute;left:5609;top:12708;width:855;height:37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      <v:textbox style="mso-next-textbox:#_x0000_s1180">
                    <w:txbxContent>
                      <w:p w14:paraId="15705EA7" w14:textId="77777777" w:rsidR="0084308F" w:rsidRPr="00590AAC" w:rsidRDefault="0084308F" w:rsidP="0084308F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590AAC">
                          <w:rPr>
                            <w:sz w:val="20"/>
                            <w:szCs w:val="20"/>
                          </w:rPr>
                          <w:t>TAG_O</w:t>
                        </w:r>
                      </w:p>
                    </w:txbxContent>
                  </v:textbox>
                </v:shape>
              </v:group>
              <v:shape id="_x0000_s1186" type="#_x0000_t32" style="position:absolute;left:3730;top:12892;width:1660;height:454;flip:x" o:connectortype="straight">
                <v:stroke endarrow="block"/>
              </v:shape>
              <v:shape id="_x0000_s1187" type="#_x0000_t32" style="position:absolute;left:3730;top:13706;width:1660;height:454" o:connectortype="straight">
                <v:stroke endarrow="block"/>
              </v:shape>
              <v:shape id="_x0000_s1188" type="#_x0000_t32" style="position:absolute;left:3730;top:13706;width:1660;height:454;flip:x" o:connectortype="straight">
                <v:stroke endarrow="block"/>
              </v:shape>
            </v:group>
            <v:shape id="_x0000_s1192" type="#_x0000_t202" style="position:absolute;left:1455;top:14017;width:5457;height:420;mso-position-horizontal-relative:text;mso-position-vertical-relative:text" stroked="f">
              <v:textbox style="mso-next-textbox:#_x0000_s1192;mso-fit-shape-to-text:t" inset="0,0,0,0">
                <w:txbxContent>
                  <w:p w14:paraId="34923574" w14:textId="055901BD" w:rsidR="00D15CF0" w:rsidRPr="008B59E8" w:rsidRDefault="00D15CF0" w:rsidP="00D15CF0">
                    <w:pPr>
                      <w:pStyle w:val="Caption"/>
                    </w:pPr>
                    <w:r>
                      <w:t xml:space="preserve">Figure </w:t>
                    </w:r>
                    <w:r>
                      <w:fldChar w:fldCharType="begin"/>
                    </w:r>
                    <w:r>
                      <w:instrText xml:space="preserve"> SEQ Figure \* ARABIC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  <w:r>
                      <w:t>. GOLDi system BUS</w:t>
                    </w:r>
                  </w:p>
                </w:txbxContent>
              </v:textbox>
            </v:shape>
            <w10:wrap type="square" anchorx="margin"/>
          </v:group>
        </w:pict>
      </w:r>
    </w:p>
    <w:p w14:paraId="2C7AB29B" w14:textId="3FFF226A" w:rsidR="00B41F43" w:rsidRPr="00590AAC" w:rsidRDefault="00B41F43" w:rsidP="00B41F43"/>
    <w:p w14:paraId="1EF74B3C" w14:textId="3B184DA1" w:rsidR="00B41F43" w:rsidRPr="00590AAC" w:rsidRDefault="00B41F43" w:rsidP="00B41F43"/>
    <w:p w14:paraId="01EFBD4C" w14:textId="77777777" w:rsidR="00B41F43" w:rsidRPr="00590AAC" w:rsidRDefault="00B41F43" w:rsidP="00B41F43"/>
    <w:p w14:paraId="0A07FFD0" w14:textId="77777777" w:rsidR="00B41F43" w:rsidRPr="00590AAC" w:rsidRDefault="00B41F43" w:rsidP="00B41F43"/>
    <w:p w14:paraId="0554EECD" w14:textId="77777777" w:rsidR="00B41F43" w:rsidRPr="00590AAC" w:rsidRDefault="00B41F43" w:rsidP="00B41F43"/>
    <w:p w14:paraId="609D0031" w14:textId="7796DF33" w:rsidR="00B41F43" w:rsidRDefault="00B41F43" w:rsidP="00B41F43"/>
    <w:p w14:paraId="7B1E3F8D" w14:textId="7D73D8CF" w:rsidR="000B614F" w:rsidRPr="00590AAC" w:rsidRDefault="000B614F" w:rsidP="00B41F43"/>
    <w:p w14:paraId="350BF1FE" w14:textId="54A33784" w:rsidR="00B41F43" w:rsidRPr="00590AAC" w:rsidRDefault="00D975EA" w:rsidP="002043B9">
      <w:pPr>
        <w:jc w:val="both"/>
      </w:pPr>
      <w:r>
        <w:t xml:space="preserve">The GOLDi main </w:t>
      </w:r>
      <w:r w:rsidR="007A6E8A">
        <w:t xml:space="preserve">communication </w:t>
      </w:r>
      <w:r w:rsidR="003F5BDF">
        <w:t>modules</w:t>
      </w:r>
      <w:r>
        <w:t xml:space="preserve"> take the data transferred by the </w:t>
      </w:r>
      <w:r w:rsidR="00EE742F">
        <w:t xml:space="preserve">SPI transaction and </w:t>
      </w:r>
      <w:r w:rsidR="00F47AE7">
        <w:t>assign it to the</w:t>
      </w:r>
      <w:r w:rsidR="00535599">
        <w:t xml:space="preserve"> master</w:t>
      </w:r>
      <w:r w:rsidR="00F47AE7">
        <w:t xml:space="preserve"> sub-buses </w:t>
      </w:r>
      <w:r w:rsidR="00951EF7">
        <w:t xml:space="preserve">WE, </w:t>
      </w:r>
      <w:r w:rsidR="00F47AE7">
        <w:t>ADR, TAG</w:t>
      </w:r>
      <w:r w:rsidR="00951EF7">
        <w:t>, DAT</w:t>
      </w:r>
      <w:r w:rsidR="00535599">
        <w:t>_O</w:t>
      </w:r>
      <w:r w:rsidR="003F5BDF">
        <w:t xml:space="preserve"> of the GOLDi system BUS. The mo</w:t>
      </w:r>
      <w:r w:rsidR="002043B9">
        <w:t xml:space="preserve">dules also </w:t>
      </w:r>
      <w:r w:rsidR="000C16BE">
        <w:t>take the data in the DAT_O slave sub-bus</w:t>
      </w:r>
      <w:r w:rsidR="002043B9">
        <w:t xml:space="preserve"> and transfer it to the microcontroller. The slave sub-bus TAG_O can be used internally and the slave MUX flag can be used to multiplex a vector of slave interfaces.</w:t>
      </w:r>
    </w:p>
    <w:p w14:paraId="39C9C3A9" w14:textId="38260BCF" w:rsidR="00B41F43" w:rsidRDefault="00E555AF" w:rsidP="00E555AF">
      <w:pPr>
        <w:pStyle w:val="Heading2"/>
        <w:rPr>
          <w:b/>
          <w:bCs/>
          <w:color w:val="auto"/>
        </w:rPr>
      </w:pPr>
      <w:r w:rsidRPr="00E555AF">
        <w:rPr>
          <w:b/>
          <w:bCs/>
          <w:color w:val="auto"/>
        </w:rPr>
        <w:t>Crossbar</w:t>
      </w:r>
      <w:r w:rsidR="009461C1">
        <w:rPr>
          <w:b/>
          <w:bCs/>
          <w:color w:val="auto"/>
        </w:rPr>
        <w:t xml:space="preserve"> and Crossbar BUS</w:t>
      </w:r>
    </w:p>
    <w:p w14:paraId="4C7D5937" w14:textId="1AA91537" w:rsidR="00E555AF" w:rsidRDefault="00CB4299" w:rsidP="00766371">
      <w:pPr>
        <w:jc w:val="both"/>
      </w:pPr>
      <w:r>
        <w:t xml:space="preserve">The crossbars structure for IO tri-state signal allows the GOLDi FPGA Control Unit to perform multiple functions for a selected subgroup </w:t>
      </w:r>
      <w:r w:rsidR="00013134">
        <w:t>of FPGA pins. The structure allows multiple GOLDi submodules to access the data present on a pin simultaneously and also to drive the t</w:t>
      </w:r>
      <w:r w:rsidR="0028067B">
        <w:t>ri-state pin.</w:t>
      </w:r>
    </w:p>
    <w:p w14:paraId="7FBBF664" w14:textId="1608654C" w:rsidR="0028067B" w:rsidRDefault="0028067B" w:rsidP="00766371">
      <w:pPr>
        <w:jc w:val="both"/>
      </w:pPr>
      <w:r>
        <w:t xml:space="preserve">The crossbar works by storing two matrices containing the </w:t>
      </w:r>
      <w:r w:rsidR="006E6448">
        <w:t>correspondence between the left and right sides of the structure. The first matrix, the “left_port_layout”</w:t>
      </w:r>
      <w:r w:rsidR="00B0646E">
        <w:t>,</w:t>
      </w:r>
      <w:r w:rsidR="006E6448">
        <w:t xml:space="preserve"> contains the routing of the FPGA input data. The second matrix, the</w:t>
      </w:r>
      <w:r w:rsidR="00B0646E">
        <w:t xml:space="preserve"> “right_port_layout”, contains the routing of the </w:t>
      </w:r>
      <w:r w:rsidR="000649C5">
        <w:t>internal system output data.</w:t>
      </w:r>
    </w:p>
    <w:p w14:paraId="62D28999" w14:textId="30A3593F" w:rsidR="000649C5" w:rsidRDefault="000649C5" w:rsidP="00766371">
      <w:pPr>
        <w:jc w:val="both"/>
      </w:pPr>
      <w:r>
        <w:t xml:space="preserve">The dimensions of the crossbar structure are customizable </w:t>
      </w:r>
      <w:r w:rsidR="00EE4B09">
        <w:t>under the assumption that the left side is always larger or equal the right side.</w:t>
      </w:r>
      <w:r w:rsidR="00A25D2D">
        <w:t xml:space="preserve"> The default layout of the crossbar after reset is defined in by the “g_default_left_layout” and “g_default_right_layout” constants in the </w:t>
      </w:r>
      <w:r w:rsidR="008B7D30">
        <w:t>GOLDI_CROSSBAR_</w:t>
      </w:r>
      <w:r w:rsidR="00A640D3">
        <w:t>CONFIG package.</w:t>
      </w:r>
    </w:p>
    <w:p w14:paraId="727354D1" w14:textId="29C15E5F" w:rsidR="00A640D3" w:rsidRDefault="00A640D3" w:rsidP="00766371">
      <w:pPr>
        <w:jc w:val="both"/>
        <w:rPr>
          <w:color w:val="FF0000"/>
        </w:rPr>
      </w:pPr>
      <w:r w:rsidRPr="00B853E8">
        <w:rPr>
          <w:color w:val="FF0000"/>
        </w:rPr>
        <w:t xml:space="preserve">V4.00.00 introduces the use of two matrices to store the initial configuration of the crossbar. Previously only the right side of the port was used and the </w:t>
      </w:r>
      <w:r w:rsidR="005027C1" w:rsidRPr="00B853E8">
        <w:rPr>
          <w:color w:val="FF0000"/>
        </w:rPr>
        <w:t>initial configuration and the left side was inferred by inverting the matrix.</w:t>
      </w:r>
      <w:r w:rsidR="00766371" w:rsidRPr="00B853E8">
        <w:rPr>
          <w:color w:val="FF0000"/>
        </w:rPr>
        <w:t xml:space="preserve"> Attention must be given to the definition of the left layout since multiple </w:t>
      </w:r>
      <w:r w:rsidR="006A46A3" w:rsidRPr="00B853E8">
        <w:rPr>
          <w:color w:val="FF0000"/>
        </w:rPr>
        <w:t xml:space="preserve">assignments of a </w:t>
      </w:r>
      <w:r w:rsidR="008E3046" w:rsidRPr="00B853E8">
        <w:rPr>
          <w:color w:val="FF0000"/>
        </w:rPr>
        <w:t>left port to the right side will cause an error.</w:t>
      </w:r>
    </w:p>
    <w:p w14:paraId="7AAFAE0C" w14:textId="2DFAB2FF" w:rsidR="00B853E8" w:rsidRDefault="00B853E8" w:rsidP="00766371">
      <w:pPr>
        <w:jc w:val="both"/>
      </w:pPr>
      <w:r>
        <w:t>The configuration of the crossbar i.e. the matri</w:t>
      </w:r>
      <w:r w:rsidR="009461C1">
        <w:t>ces contents can be modified through a crossbar BUS structure. The BUS interface is the same as the GOLDi BUS standard, however the data is interpreted differently. The crossbar BUS translates the “</w:t>
      </w:r>
      <w:proofErr w:type="spellStart"/>
      <w:r w:rsidR="009461C1">
        <w:t>adr</w:t>
      </w:r>
      <w:proofErr w:type="spellEnd"/>
      <w:r w:rsidR="009461C1">
        <w:t>” vector into the right pin number and the “</w:t>
      </w:r>
      <w:proofErr w:type="spellStart"/>
      <w:r w:rsidR="009461C1">
        <w:t>dat</w:t>
      </w:r>
      <w:proofErr w:type="spellEnd"/>
      <w:r w:rsidR="009461C1">
        <w:t>” vector as the corresponding left pin to be connected. To ensure that a control register can be used to multiplex the main system BUS and multiple instances of the crossbar</w:t>
      </w:r>
      <w:r w:rsidR="00F30575">
        <w:t>, the right pin number has been offset by 2.</w:t>
      </w:r>
    </w:p>
    <w:p w14:paraId="0E7F69AB" w14:textId="324FBF2D" w:rsidR="00F30575" w:rsidRPr="00D67DE9" w:rsidRDefault="00F30575" w:rsidP="00766371">
      <w:pPr>
        <w:jc w:val="both"/>
        <w:rPr>
          <w:color w:val="FF0000"/>
        </w:rPr>
      </w:pPr>
      <w:r w:rsidRPr="00D67DE9">
        <w:rPr>
          <w:color w:val="FF0000"/>
        </w:rPr>
        <w:t xml:space="preserve">A detailed explanation with examples can be found in the </w:t>
      </w:r>
      <w:r w:rsidR="00D67DE9" w:rsidRPr="00D67DE9">
        <w:rPr>
          <w:color w:val="FF0000"/>
        </w:rPr>
        <w:t>MOLE’s datasheet.</w:t>
      </w:r>
    </w:p>
    <w:sectPr w:rsidR="00F30575" w:rsidRPr="00D67DE9"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ED8F3" w14:textId="77777777" w:rsidR="00FF4877" w:rsidRPr="00590AAC" w:rsidRDefault="00FF4877" w:rsidP="007A5CEA">
      <w:pPr>
        <w:spacing w:after="0" w:line="240" w:lineRule="auto"/>
      </w:pPr>
      <w:r w:rsidRPr="00590AAC">
        <w:separator/>
      </w:r>
    </w:p>
  </w:endnote>
  <w:endnote w:type="continuationSeparator" w:id="0">
    <w:p w14:paraId="5FC24FD7" w14:textId="77777777" w:rsidR="00FF4877" w:rsidRPr="00590AAC" w:rsidRDefault="00FF4877" w:rsidP="007A5CEA">
      <w:pPr>
        <w:spacing w:after="0" w:line="240" w:lineRule="auto"/>
      </w:pPr>
      <w:r w:rsidRPr="00590AA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92978800"/>
      <w:docPartObj>
        <w:docPartGallery w:val="Page Numbers (Bottom of Page)"/>
        <w:docPartUnique/>
      </w:docPartObj>
    </w:sdtPr>
    <w:sdtContent>
      <w:p w14:paraId="1C773379" w14:textId="7476EE97" w:rsidR="006535F5" w:rsidRPr="00590AAC" w:rsidRDefault="006535F5">
        <w:pPr>
          <w:pStyle w:val="Footer"/>
          <w:jc w:val="right"/>
        </w:pPr>
        <w:r w:rsidRPr="00590AAC">
          <w:fldChar w:fldCharType="begin"/>
        </w:r>
        <w:r w:rsidRPr="00590AAC">
          <w:instrText xml:space="preserve"> PAGE   \* MERGEFORMAT </w:instrText>
        </w:r>
        <w:r w:rsidRPr="00590AAC">
          <w:fldChar w:fldCharType="separate"/>
        </w:r>
        <w:r w:rsidRPr="00590AAC">
          <w:t>2</w:t>
        </w:r>
        <w:r w:rsidRPr="00590AAC">
          <w:fldChar w:fldCharType="end"/>
        </w:r>
      </w:p>
    </w:sdtContent>
  </w:sdt>
  <w:p w14:paraId="41D6B373" w14:textId="77777777" w:rsidR="007A5CEA" w:rsidRPr="00590AAC" w:rsidRDefault="007A5C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8B030" w14:textId="77777777" w:rsidR="00FF4877" w:rsidRPr="00590AAC" w:rsidRDefault="00FF4877" w:rsidP="007A5CEA">
      <w:pPr>
        <w:spacing w:after="0" w:line="240" w:lineRule="auto"/>
      </w:pPr>
      <w:r w:rsidRPr="00590AAC">
        <w:separator/>
      </w:r>
    </w:p>
  </w:footnote>
  <w:footnote w:type="continuationSeparator" w:id="0">
    <w:p w14:paraId="76DEE7E1" w14:textId="77777777" w:rsidR="00FF4877" w:rsidRPr="00590AAC" w:rsidRDefault="00FF4877" w:rsidP="007A5CEA">
      <w:pPr>
        <w:spacing w:after="0" w:line="240" w:lineRule="auto"/>
      </w:pPr>
      <w:r w:rsidRPr="00590AAC">
        <w:continuationSeparator/>
      </w:r>
    </w:p>
  </w:footnote>
  <w:footnote w:id="1">
    <w:p w14:paraId="60FE355F" w14:textId="61C9F123" w:rsidR="004D3E95" w:rsidRPr="009915D3" w:rsidRDefault="004D3E95">
      <w:pPr>
        <w:pStyle w:val="FootnoteText"/>
      </w:pPr>
      <w:r w:rsidRPr="00590AAC">
        <w:rPr>
          <w:rStyle w:val="FootnoteReference"/>
        </w:rPr>
        <w:footnoteRef/>
      </w:r>
      <w:r w:rsidRPr="00590AAC">
        <w:t xml:space="preserve"> </w:t>
      </w:r>
      <w:r w:rsidR="00EB416D" w:rsidRPr="00590AAC">
        <w:t xml:space="preserve">Pins with additional or uncommon </w:t>
      </w:r>
      <w:r w:rsidR="00512D6F" w:rsidRPr="00590AAC">
        <w:t xml:space="preserve">configurations are an exception and must be deliberately routed. For example I2C pins that must be configured as </w:t>
      </w:r>
      <w:r w:rsidR="004C507D" w:rsidRPr="00590AAC">
        <w:t xml:space="preserve"> “open-drain” </w:t>
      </w:r>
      <w:r w:rsidR="00DB583E" w:rsidRPr="00590AAC">
        <w:t>to prevent damage</w:t>
      </w:r>
      <w:r w:rsidR="004C507D" w:rsidRPr="00590AAC"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CEA"/>
    <w:rsid w:val="00013134"/>
    <w:rsid w:val="00045D80"/>
    <w:rsid w:val="0005615B"/>
    <w:rsid w:val="00056927"/>
    <w:rsid w:val="000649C5"/>
    <w:rsid w:val="0006565C"/>
    <w:rsid w:val="000A0D61"/>
    <w:rsid w:val="000B614F"/>
    <w:rsid w:val="000B7773"/>
    <w:rsid w:val="000C16BE"/>
    <w:rsid w:val="000C7188"/>
    <w:rsid w:val="000D3BB3"/>
    <w:rsid w:val="000E23B3"/>
    <w:rsid w:val="000F35AD"/>
    <w:rsid w:val="00110414"/>
    <w:rsid w:val="0011472D"/>
    <w:rsid w:val="00120B91"/>
    <w:rsid w:val="00133754"/>
    <w:rsid w:val="00155AA3"/>
    <w:rsid w:val="001B25CD"/>
    <w:rsid w:val="001B6C7C"/>
    <w:rsid w:val="001F5DBB"/>
    <w:rsid w:val="002043B9"/>
    <w:rsid w:val="00240D8F"/>
    <w:rsid w:val="00252B52"/>
    <w:rsid w:val="00254EC1"/>
    <w:rsid w:val="0028067B"/>
    <w:rsid w:val="002854CB"/>
    <w:rsid w:val="002B3550"/>
    <w:rsid w:val="002E005F"/>
    <w:rsid w:val="002E6A71"/>
    <w:rsid w:val="00304FE6"/>
    <w:rsid w:val="00314671"/>
    <w:rsid w:val="003303CA"/>
    <w:rsid w:val="00335697"/>
    <w:rsid w:val="00364A9D"/>
    <w:rsid w:val="00375441"/>
    <w:rsid w:val="00376581"/>
    <w:rsid w:val="003809B9"/>
    <w:rsid w:val="0038517C"/>
    <w:rsid w:val="00386A64"/>
    <w:rsid w:val="00393B00"/>
    <w:rsid w:val="00394F36"/>
    <w:rsid w:val="003A20BD"/>
    <w:rsid w:val="003A4795"/>
    <w:rsid w:val="003A735E"/>
    <w:rsid w:val="003B7D99"/>
    <w:rsid w:val="003C260A"/>
    <w:rsid w:val="003C568D"/>
    <w:rsid w:val="003C666B"/>
    <w:rsid w:val="003C7B5F"/>
    <w:rsid w:val="003D7B82"/>
    <w:rsid w:val="003E401B"/>
    <w:rsid w:val="003E7D50"/>
    <w:rsid w:val="003F5BDF"/>
    <w:rsid w:val="004110FC"/>
    <w:rsid w:val="00435C25"/>
    <w:rsid w:val="004541F8"/>
    <w:rsid w:val="00457010"/>
    <w:rsid w:val="00466398"/>
    <w:rsid w:val="0048242F"/>
    <w:rsid w:val="004908FA"/>
    <w:rsid w:val="00494732"/>
    <w:rsid w:val="004B36B6"/>
    <w:rsid w:val="004B4201"/>
    <w:rsid w:val="004C507D"/>
    <w:rsid w:val="004D3E95"/>
    <w:rsid w:val="004E1498"/>
    <w:rsid w:val="004E726B"/>
    <w:rsid w:val="00500B2B"/>
    <w:rsid w:val="005027C1"/>
    <w:rsid w:val="00512D6F"/>
    <w:rsid w:val="0051332E"/>
    <w:rsid w:val="00524ECB"/>
    <w:rsid w:val="00531D38"/>
    <w:rsid w:val="00535599"/>
    <w:rsid w:val="00540705"/>
    <w:rsid w:val="00544A7F"/>
    <w:rsid w:val="00551154"/>
    <w:rsid w:val="005561AE"/>
    <w:rsid w:val="0056400B"/>
    <w:rsid w:val="00564F21"/>
    <w:rsid w:val="00575598"/>
    <w:rsid w:val="0058154E"/>
    <w:rsid w:val="005821F1"/>
    <w:rsid w:val="00583184"/>
    <w:rsid w:val="00585007"/>
    <w:rsid w:val="00590AAC"/>
    <w:rsid w:val="005C486D"/>
    <w:rsid w:val="005D1444"/>
    <w:rsid w:val="005E0685"/>
    <w:rsid w:val="005E6C7C"/>
    <w:rsid w:val="00612ABD"/>
    <w:rsid w:val="00621E7B"/>
    <w:rsid w:val="00636401"/>
    <w:rsid w:val="006420D8"/>
    <w:rsid w:val="00650B56"/>
    <w:rsid w:val="00651273"/>
    <w:rsid w:val="006535F5"/>
    <w:rsid w:val="00664E45"/>
    <w:rsid w:val="00674BF9"/>
    <w:rsid w:val="00680640"/>
    <w:rsid w:val="006A46A3"/>
    <w:rsid w:val="006C1726"/>
    <w:rsid w:val="006C235D"/>
    <w:rsid w:val="006C6C88"/>
    <w:rsid w:val="006E55BB"/>
    <w:rsid w:val="006E6448"/>
    <w:rsid w:val="007024E7"/>
    <w:rsid w:val="0071652A"/>
    <w:rsid w:val="00721CF8"/>
    <w:rsid w:val="00724048"/>
    <w:rsid w:val="0073586C"/>
    <w:rsid w:val="007637BF"/>
    <w:rsid w:val="00763C8E"/>
    <w:rsid w:val="00766371"/>
    <w:rsid w:val="0077327E"/>
    <w:rsid w:val="007929E1"/>
    <w:rsid w:val="007A5CEA"/>
    <w:rsid w:val="007A6E8A"/>
    <w:rsid w:val="007D1605"/>
    <w:rsid w:val="007F3FBB"/>
    <w:rsid w:val="008162CF"/>
    <w:rsid w:val="008174C3"/>
    <w:rsid w:val="0081764B"/>
    <w:rsid w:val="0082606D"/>
    <w:rsid w:val="0084308F"/>
    <w:rsid w:val="008535DF"/>
    <w:rsid w:val="00877855"/>
    <w:rsid w:val="008A0B8F"/>
    <w:rsid w:val="008A3FF9"/>
    <w:rsid w:val="008B1BCE"/>
    <w:rsid w:val="008B4540"/>
    <w:rsid w:val="008B7D30"/>
    <w:rsid w:val="008C1058"/>
    <w:rsid w:val="008C1E2F"/>
    <w:rsid w:val="008C38A3"/>
    <w:rsid w:val="008E3046"/>
    <w:rsid w:val="009001AA"/>
    <w:rsid w:val="00931204"/>
    <w:rsid w:val="00934530"/>
    <w:rsid w:val="00936FDF"/>
    <w:rsid w:val="009461C1"/>
    <w:rsid w:val="00951EF7"/>
    <w:rsid w:val="00952B12"/>
    <w:rsid w:val="0097529C"/>
    <w:rsid w:val="009915D3"/>
    <w:rsid w:val="009D02F0"/>
    <w:rsid w:val="009D3798"/>
    <w:rsid w:val="009D4C9C"/>
    <w:rsid w:val="009E6698"/>
    <w:rsid w:val="009F2361"/>
    <w:rsid w:val="00A24B5D"/>
    <w:rsid w:val="00A25D2D"/>
    <w:rsid w:val="00A640D3"/>
    <w:rsid w:val="00A87A2E"/>
    <w:rsid w:val="00AF28A5"/>
    <w:rsid w:val="00AF539E"/>
    <w:rsid w:val="00B04F80"/>
    <w:rsid w:val="00B05644"/>
    <w:rsid w:val="00B0646E"/>
    <w:rsid w:val="00B1744F"/>
    <w:rsid w:val="00B41F43"/>
    <w:rsid w:val="00B41FFE"/>
    <w:rsid w:val="00B468C4"/>
    <w:rsid w:val="00B55D82"/>
    <w:rsid w:val="00B853E8"/>
    <w:rsid w:val="00BB4CD8"/>
    <w:rsid w:val="00BD29D9"/>
    <w:rsid w:val="00BE00FB"/>
    <w:rsid w:val="00BE10CF"/>
    <w:rsid w:val="00BE4087"/>
    <w:rsid w:val="00BE4779"/>
    <w:rsid w:val="00BF41E4"/>
    <w:rsid w:val="00C374B6"/>
    <w:rsid w:val="00C656EF"/>
    <w:rsid w:val="00C927F9"/>
    <w:rsid w:val="00C963BC"/>
    <w:rsid w:val="00CB4299"/>
    <w:rsid w:val="00CD5694"/>
    <w:rsid w:val="00CE7E64"/>
    <w:rsid w:val="00CF0288"/>
    <w:rsid w:val="00CF1CF0"/>
    <w:rsid w:val="00CF726B"/>
    <w:rsid w:val="00D15CF0"/>
    <w:rsid w:val="00D23C27"/>
    <w:rsid w:val="00D4553B"/>
    <w:rsid w:val="00D658D9"/>
    <w:rsid w:val="00D67DE9"/>
    <w:rsid w:val="00D80412"/>
    <w:rsid w:val="00D81F88"/>
    <w:rsid w:val="00D83FCF"/>
    <w:rsid w:val="00D92997"/>
    <w:rsid w:val="00D946FA"/>
    <w:rsid w:val="00D975EA"/>
    <w:rsid w:val="00DB583E"/>
    <w:rsid w:val="00DD29E7"/>
    <w:rsid w:val="00DD3517"/>
    <w:rsid w:val="00DE1101"/>
    <w:rsid w:val="00DF3876"/>
    <w:rsid w:val="00DF7634"/>
    <w:rsid w:val="00E02DF6"/>
    <w:rsid w:val="00E064BF"/>
    <w:rsid w:val="00E14B5C"/>
    <w:rsid w:val="00E25941"/>
    <w:rsid w:val="00E40E14"/>
    <w:rsid w:val="00E555AF"/>
    <w:rsid w:val="00E5784C"/>
    <w:rsid w:val="00E61CD5"/>
    <w:rsid w:val="00E62FFC"/>
    <w:rsid w:val="00E64C0A"/>
    <w:rsid w:val="00E96CB1"/>
    <w:rsid w:val="00EA57DE"/>
    <w:rsid w:val="00EB416D"/>
    <w:rsid w:val="00ED1783"/>
    <w:rsid w:val="00ED5A99"/>
    <w:rsid w:val="00EE3D06"/>
    <w:rsid w:val="00EE4B09"/>
    <w:rsid w:val="00EE5860"/>
    <w:rsid w:val="00EE742F"/>
    <w:rsid w:val="00F12B0C"/>
    <w:rsid w:val="00F2755B"/>
    <w:rsid w:val="00F2799C"/>
    <w:rsid w:val="00F30575"/>
    <w:rsid w:val="00F47AE7"/>
    <w:rsid w:val="00F75762"/>
    <w:rsid w:val="00F85F0F"/>
    <w:rsid w:val="00FA48DE"/>
    <w:rsid w:val="00FC0752"/>
    <w:rsid w:val="00FD3C72"/>
    <w:rsid w:val="00FF0E19"/>
    <w:rsid w:val="00FF4877"/>
    <w:rsid w:val="00FF4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4">
      <o:colormru v:ext="edit" colors="#06c,#fc0,#f90,#f93,#f60"/>
    </o:shapedefaults>
    <o:shapelayout v:ext="edit">
      <o:idmap v:ext="edit" data="1"/>
      <o:rules v:ext="edit">
        <o:r id="V:Rule1" type="connector" idref="#_x0000_s1183"/>
        <o:r id="V:Rule2" type="connector" idref="#_x0000_s1182"/>
        <o:r id="V:Rule3" type="connector" idref="#_x0000_s1187"/>
        <o:r id="V:Rule4" type="connector" idref="#_x0000_s1186"/>
        <o:r id="V:Rule5" type="connector" idref="#_x0000_s1184"/>
        <o:r id="V:Rule6" type="connector" idref="#_x0000_s1185"/>
        <o:r id="V:Rule7" type="connector" idref="#_x0000_s1188"/>
      </o:rules>
    </o:shapelayout>
  </w:shapeDefaults>
  <w:decimalSymbol w:val="."/>
  <w:listSeparator w:val=","/>
  <w14:docId w14:val="6007876A"/>
  <w15:docId w15:val="{11EC4678-C83F-4B52-9F00-BBB810B98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5C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C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C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A5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CEA"/>
  </w:style>
  <w:style w:type="paragraph" w:styleId="Footer">
    <w:name w:val="footer"/>
    <w:basedOn w:val="Normal"/>
    <w:link w:val="FooterChar"/>
    <w:uiPriority w:val="99"/>
    <w:unhideWhenUsed/>
    <w:rsid w:val="007A5C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CEA"/>
  </w:style>
  <w:style w:type="character" w:customStyle="1" w:styleId="Heading2Char">
    <w:name w:val="Heading 2 Char"/>
    <w:basedOn w:val="DefaultParagraphFont"/>
    <w:link w:val="Heading2"/>
    <w:uiPriority w:val="9"/>
    <w:rsid w:val="007A5C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6535F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3E9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3E95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4D3E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20694C66B9AD43B9BFE7800B34394E" ma:contentTypeVersion="0" ma:contentTypeDescription="Create a new document." ma:contentTypeScope="" ma:versionID="558896a56efe0a97a351f9cb9e82b49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a798894cd1fdfdc6c7770f55e51d48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BDE2DB-5520-492B-AE58-4C1CCA1719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01B7BB-98F1-41C3-9CB1-5A60728EBA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74E431-159E-47D2-B711-0C8D9A62A8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E18E037-A867-4747-AD2A-1C4FB021DEE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1440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Pablo Chew Camey</dc:creator>
  <cp:keywords/>
  <dc:description/>
  <cp:lastModifiedBy>Jose Pablo Chew Camey</cp:lastModifiedBy>
  <cp:revision>208</cp:revision>
  <dcterms:created xsi:type="dcterms:W3CDTF">2023-10-10T08:17:00Z</dcterms:created>
  <dcterms:modified xsi:type="dcterms:W3CDTF">2023-10-13T10:20:00Z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b4503025-8c33-419d-8c82-e62c1c26630a</vt:lpwstr>
  </property>
  <property fmtid="{D5CDD505-2E9C-101B-9397-08002B2CF9AE}" pid="3" name="ContentTypeId">
    <vt:lpwstr>0x010100F120694C66B9AD43B9BFE7800B34394E</vt:lpwstr>
  </property>
</Properties>
</file>