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Стратегия портфеля Adobe Stock: путь к $30 в день</w:t>
      </w:r>
    </w:p>
    <w:p>
      <w:pPr>
        <w:spacing w:after="120"/>
      </w:pPr>
      <w:r>
        <w:rPr>
          <w:i/>
          <w:iCs/>
        </w:rPr>
        <w:t xml:space="preserve">Версия 005, 28 августа 2026. Портфель — 42 857 работ, аккаунт Makaron Production.</w:t>
      </w:r>
    </w:p>
    <w:p>
      <w:pPr>
        <w:spacing w:after="120"/>
      </w:pPr>
      <w:r>
        <w:t xml:space="preserve">Основана на двух годах продаж (3 046 записей), разборе 4 000 отклонений и визуальном аудите 1 344 работ, каждая из которых просмотрена глазами, размечена по теме и переписана. Всё, что не подтверждено этими данными, помечено как гипотеза.</w:t>
      </w:r>
    </w:p>
    <w:p>
      <w:pPr>
        <w:pStyle w:val="Heading1"/>
        <w:spacing w:after="160" w:before="320"/>
      </w:pPr>
      <w:r>
        <w:t xml:space="preserve">0. Что изменилось после версии 004</w:t>
      </w:r>
    </w:p>
    <w:p>
      <w:pPr>
        <w:spacing w:after="120"/>
      </w:pPr>
      <w:r>
        <w:t xml:space="preserve">v004 строилась на 795 разобранных работах. Сейчас их 1 344 — выборка выросла в 1.7 раза, и часть выводов уточнилась, а один изменился качественно.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было в v004</w:t>
            </w:r>
          </w:p>
        </w:tc>
        <w:tc>
          <w:tcPr>
            <w:tcW w:type="dxa" w:w="561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стало в v005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Разобрано 795 работ, 29 тем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Разобрано 1 344 работы, 24 темы после переклассификации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Ключевиков 18–21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Ключевиков 8–34, число определяется кадром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Однотипность — качественное наблюдение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Однотипность измеряется тремя числами и стала приёмочным критерием партии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«Что генерировать» выводилось из трёх признаков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 признакам добавился измеренный образец: как выглядит хорошая партия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1. Факт: чем портфель живёт сейчас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9"/>
        <w:gridCol w:w="3931"/>
      </w:tblGrid>
      <w:tr>
        <w:trPr>
          <w:tblHeader/>
        </w:trPr>
        <w:tc>
          <w:tcPr>
            <w:tcW w:type="dxa" w:w="542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931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 в портфеле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42 857</w:t>
            </w:r>
          </w:p>
        </w:tc>
      </w:tr>
      <w:tr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Доход за 2 года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$2 362.70</w:t>
            </w:r>
          </w:p>
        </w:tc>
      </w:tr>
      <w:tr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Год 1 → Год 2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$5.08 → $1.39 в день, −73 %</w:t>
            </w:r>
          </w:p>
        </w:tc>
      </w:tr>
      <w:tr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Работ, продавшихся хотя бы раз за 2 года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1 165 (2.7 %)</w:t>
            </w:r>
          </w:p>
        </w:tc>
      </w:tr>
      <w:tr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Доля топ-10 работ в доходе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31 %</w:t>
            </w:r>
          </w:p>
        </w:tc>
      </w:tr>
      <w:tr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Разобрано и переписано на 28.08.2026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1 344 работы</w:t>
            </w:r>
          </w:p>
        </w:tc>
      </w:tr>
      <w:tr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Отдача средней работы аудированной части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$0.041 за два года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Последняя строка — главная. Средняя работа приносит четыре цента за два года. Для цели в $30 в день нужно около $3 в год с работы. Разрыв примерно в 150 раз, и закрыть его наращиванием такого же контента невозможно арифметически.</w:t>
      </w:r>
    </w:p>
    <w:p>
      <w:pPr>
        <w:pStyle w:val="Heading1"/>
        <w:spacing w:after="160" w:before="320"/>
      </w:pPr>
      <w:r>
        <w:t xml:space="preserve">2. Из чего состоит портфель</w:t>
      </w:r>
    </w:p>
    <w:p>
      <w:pPr>
        <w:spacing w:after="120"/>
      </w:pPr>
      <w:r>
        <w:t xml:space="preserve">1 344 работы, размеченные по темам во время переписывания метаданных. Доход — за два года, сопоставлен по media_id с выгрузкой продаж.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217"/>
        <w:gridCol w:w="1217"/>
        <w:gridCol w:w="1498"/>
        <w:gridCol w:w="1685"/>
      </w:tblGrid>
      <w:tr>
        <w:trPr>
          <w:tblHeader/>
        </w:trPr>
        <w:tc>
          <w:tcPr>
            <w:tcW w:type="dxa" w:w="3744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тема</w:t>
            </w:r>
          </w:p>
        </w:tc>
        <w:tc>
          <w:tcPr>
            <w:tcW w:type="dxa" w:w="121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работ</w:t>
            </w:r>
          </w:p>
        </w:tc>
        <w:tc>
          <w:tcPr>
            <w:tcW w:type="dxa" w:w="1217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скач.</w:t>
            </w:r>
          </w:p>
        </w:tc>
        <w:tc>
          <w:tcPr>
            <w:tcW w:type="dxa" w:w="149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доход</w:t>
            </w:r>
          </w:p>
        </w:tc>
        <w:tc>
          <w:tcPr>
            <w:tcW w:type="dxa" w:w="168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$/работу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Копилки и накопления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$20.91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0.475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Заготовки: рамки, бирки, вывески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$14.95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0.288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Кибербезопасность и угрозы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$14.93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0.220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Символы и иконки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$1.05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0.105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Мешки денег и монеты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$1.84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0.066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Упаковка и бутылки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$0.53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0.041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Битое стекло и осколки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$1.71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0.009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Колоннады и залы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$0.30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0.004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Текстуры и фоны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Цветы и ботаника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Интерьер и мебель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Лёд и охлаждение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Еда и выпечка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Природа и пейзаж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Медицина и уход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Новый год и рождество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Спорт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Люди и сцены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Остальные 6 тем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1 366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$56.22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0.041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Три числа, которые из этого следуют</w:t>
      </w:r>
    </w:p>
    <w:p>
      <w:pPr>
        <w:spacing w:after="120"/>
      </w:pPr>
      <w:r>
        <w:rPr>
          <w:b/>
          <w:bCs/>
        </w:rPr>
        <w:t xml:space="preserve">Шесть самых больших тем — текстуры, стекло, цветы, интерьер, лёд, колоннады — занимают 758 работ, то есть 56 % аудированной части. Их суммарный доход за два года — $2.01.</w:t>
      </w:r>
    </w:p>
    <w:p>
      <w:pPr>
        <w:spacing w:after="120"/>
      </w:pPr>
      <w:r>
        <w:t xml:space="preserve">Из 24 тем заработали хоть что-нибудь восемь. Шестнадцать тем за два года не дали ни одной продажи.</w:t>
      </w:r>
    </w:p>
    <w:p>
      <w:pPr>
        <w:spacing w:after="120"/>
      </w:pPr>
      <w:r>
        <w:t xml:space="preserve">Три темы — копилки, заготовки, кибербезопасность — это 164 работы (12 %) и $50.79 из $56.22, то есть 90 % дохода.</w:t>
      </w:r>
    </w:p>
    <w:p>
      <w:pPr>
        <w:spacing w:after="120"/>
      </w:pPr>
      <w:r>
        <w:t xml:space="preserve">Оговорка, без которой таблицей нельзя пользоваться: продавшиеся работы исключены из правки, поэтому в теме с одной-двумя продажами доверительный интервал огромен. Тема с нулём при 20 работах не опровергнута; тема с нулём при 189 — опровергнута.</w:t>
      </w:r>
    </w:p>
    <w:p>
      <w:pPr>
        <w:pStyle w:val="Heading1"/>
        <w:spacing w:after="160" w:before="320"/>
      </w:pPr>
      <w:r>
        <w:t xml:space="preserve">3. Три признака работы, которая продаётся</w:t>
      </w:r>
    </w:p>
    <w:p>
      <w:pPr>
        <w:spacing w:after="120"/>
      </w:pPr>
      <w:r>
        <w:t xml:space="preserve">Подтверждаются на расширенной выборке.</w:t>
      </w:r>
    </w:p>
    <w:p>
      <w:pPr>
        <w:pStyle w:val="Heading2"/>
        <w:spacing w:after="120" w:before="240"/>
      </w:pPr>
      <w:r>
        <w:t xml:space="preserve">Признак 1. Место под чужой контент</w:t>
      </w:r>
    </w:p>
    <w:p>
      <w:pPr>
        <w:spacing w:after="120"/>
      </w:pPr>
      <w:r>
        <w:t xml:space="preserve">Проданные ретро-вывески — пустое табло под текст покупателя. Та же природа у главной работы портфеля 983178264 (акварельный фон, $461 = 20 % дохода за два года). Категория «заготовки» держит второе место по отдаче на работу при том, что состоит из скучных бирок и рамок.</w:t>
      </w:r>
    </w:p>
    <w:p>
      <w:pPr>
        <w:pStyle w:val="Heading2"/>
        <w:spacing w:after="120" w:before="240"/>
      </w:pPr>
      <w:r>
        <w:t xml:space="preserve">Признак 2. Сценарий с рекламным бюджетом</w:t>
      </w:r>
    </w:p>
    <w:p>
      <w:pPr>
        <w:spacing w:after="120"/>
      </w:pPr>
      <w:r>
        <w:t xml:space="preserve">Из 44 копилок продались семь, пять из них — копилка в выпускной шапочке и копилка с чемоданом. Не «копилка», а «копим на учёбу» и «копим на отпуск». Мешки денег без сценария: $1.84 на 28 работ.</w:t>
      </w:r>
    </w:p>
    <w:p>
      <w:pPr>
        <w:pStyle w:val="Heading2"/>
        <w:spacing w:after="120" w:before="240"/>
      </w:pPr>
      <w:r>
        <w:t xml:space="preserve">Признак 3. Тревога и новостная повестка</w:t>
      </w:r>
    </w:p>
    <w:p>
      <w:pPr>
        <w:spacing w:after="120"/>
      </w:pPr>
      <w:r>
        <w:t xml:space="preserve">Ноутбуки с предупреждением, лупа над значком угрозы, вирусные клетки — 18 скачиваний на 68 работ. Поток таких иллюстраций у медиа постоянный и не сезонный.</w:t>
      </w:r>
    </w:p>
    <w:p>
      <w:pPr>
        <w:spacing w:after="120"/>
      </w:pPr>
      <w:r>
        <w:t xml:space="preserve">Обратная сторона: среди проданных нет ни одной эстетичной предметной композиции, ни одного пастельного флэтлея, ни одной абстрактной фактуры. Такого контента в портфеле 189 работ.</w:t>
      </w:r>
    </w:p>
    <w:p>
      <w:pPr>
        <w:pStyle w:val="Heading1"/>
        <w:spacing w:after="160" w:before="320"/>
      </w:pPr>
      <w:r>
        <w:t xml:space="preserve">4. Как отличить хорошую партию от плохой до заливки</w:t>
      </w:r>
    </w:p>
    <w:p>
      <w:pPr>
        <w:spacing w:after="120"/>
      </w:pPr>
      <w:r>
        <w:t xml:space="preserve">Главное практическое приобретение этой версии. Однотипность перестала быть впечатлением и стала тремя измеримыми числами. Считаются по метаданным партии за секунды.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493"/>
        <w:gridCol w:w="2059"/>
      </w:tblGrid>
      <w:tr>
        <w:trPr>
          <w:tblHeader/>
        </w:trPr>
        <w:tc>
          <w:tcPr>
            <w:tcW w:type="dxa" w:w="28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449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205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порог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Уникальных ключевиков на 40 работ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сколько разных понятий партия вообще покрывает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ниже 300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Доля общих ключевиков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какая часть списка одинакова у большинства работ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выше 15 %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Сходство пар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насколько две случайные работы неразличимы для поиска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выше 15 %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Замеры на реальных партиях по 40 работ: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498"/>
        <w:gridCol w:w="1310"/>
        <w:gridCol w:w="1685"/>
        <w:gridCol w:w="1685"/>
      </w:tblGrid>
      <w:tr>
        <w:trPr>
          <w:tblHeader/>
        </w:trPr>
        <w:tc>
          <w:tcPr>
            <w:tcW w:type="dxa" w:w="318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партия</w:t>
            </w:r>
          </w:p>
        </w:tc>
        <w:tc>
          <w:tcPr>
            <w:tcW w:type="dxa" w:w="149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уник. слов</w:t>
            </w:r>
          </w:p>
        </w:tc>
        <w:tc>
          <w:tcPr>
            <w:tcW w:type="dxa" w:w="13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общих</w:t>
            </w:r>
          </w:p>
        </w:tc>
        <w:tc>
          <w:tcPr>
            <w:tcW w:type="dxa" w:w="168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сходство пар</w:t>
            </w:r>
          </w:p>
        </w:tc>
        <w:tc>
          <w:tcPr>
            <w:tcW w:type="dxa" w:w="168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вердикт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Разнородная (40 разных тем)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471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отлично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Разнородная с блоком выпечки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368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хорошо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Кибербезопасность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373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хорошо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Колоннады, переписаны заново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252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приемлемо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Колоннады, первая версия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149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40 %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брак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Последняя строка — партия, где 31 работа из 40 имела ведущим ключевиком слово corridor. Позиция, которую Adobe весит сильнее всего, была одинаковой у трёх четвертей партии: эти работы конкурируют друг с другом за один запрос вместо того, чтобы разойтись по разным.</w:t>
      </w:r>
    </w:p>
    <w:p>
      <w:pPr>
        <w:spacing w:after="120"/>
      </w:pPr>
      <w:r>
        <w:t xml:space="preserve">Практический вывод: ведущий ключевик должен различать работы внутри серии. Не «corridor», а «blue marble», «golden hall», «terracotta», «lavender». Не «watercolor», а «orange poppy», «seed head», «floral corner».</w:t>
      </w:r>
    </w:p>
    <w:p>
      <w:pPr>
        <w:pStyle w:val="Heading1"/>
        <w:spacing w:after="160" w:before="320"/>
      </w:pPr>
      <w:r>
        <w:t xml:space="preserve">5. Что генерировать</w:t>
      </w:r>
    </w:p>
    <w:p>
      <w:pPr>
        <w:pStyle w:val="Heading2"/>
        <w:spacing w:after="120" w:before="240"/>
      </w:pPr>
      <w:r>
        <w:t xml:space="preserve">Правило, которое важнее квот</w:t>
      </w:r>
    </w:p>
    <w:p>
      <w:pPr>
        <w:spacing w:after="120"/>
      </w:pPr>
      <w:r>
        <w:rPr>
          <w:b/>
          <w:bCs/>
        </w:rPr>
        <w:t xml:space="preserve">Одна тема — одна–две работы. 185 работ битого стекла за два года дали $1.71; четыре ретро-вывески дали $14.61. Разница на работу — в 32 раза внутри аудита и в сотни раз, если сравнивать лучшую тему с худшей.</w:t>
      </w:r>
    </w:p>
    <w:p>
      <w:pPr>
        <w:spacing w:after="120"/>
      </w:pPr>
      <w:r>
        <w:t xml:space="preserve">То же самое требует Adobe со своей стороны: 4 000+ отклонений с причиной Similar auto rejected — автоматический отказ за похожесть внутри собственной партии, без участия человека.</w:t>
      </w:r>
    </w:p>
    <w:p>
      <w:pPr>
        <w:pStyle w:val="Heading2"/>
        <w:spacing w:after="120" w:before="240"/>
      </w:pPr>
      <w:r>
        <w:t xml:space="preserve">Образец хорошей партии</w:t>
      </w:r>
    </w:p>
    <w:p>
      <w:pPr>
        <w:spacing w:after="120"/>
      </w:pPr>
      <w:r>
        <w:t xml:space="preserve">В портфеле нашлась партия, которая является рабочим эталоном: 40 работ, 40 разных тем — пончики, витраж собора, тронный зал, северное сияние, схемная плата, суши, мексиканский переулок, библиотека, руины башни, карта мира, белый шёлк. 471 уникальный ключевик, сходство пар 4 %.</w:t>
      </w:r>
    </w:p>
    <w:p>
      <w:pPr>
        <w:spacing w:after="120"/>
      </w:pPr>
      <w:r>
        <w:t xml:space="preserve">Такую партию невозможно завернуть за похожесть, потому что внутри неё нечему быть похожим. И в выдаче эти работы не конкурируют между собой.</w:t>
      </w:r>
    </w:p>
    <w:p>
      <w:pPr>
        <w:pStyle w:val="Heading2"/>
        <w:spacing w:after="120" w:before="240"/>
      </w:pPr>
      <w:r>
        <w:t xml:space="preserve">Пропорции</w:t>
      </w:r>
    </w:p>
    <w:p>
      <w:pPr>
        <w:spacing w:after="120"/>
      </w:pPr>
      <w:r>
        <w:t xml:space="preserve">Расчёт на 800 работ в месяц. Доли пересмотрены по таблице раздела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749"/>
        <w:gridCol w:w="936"/>
        <w:gridCol w:w="4493"/>
      </w:tblGrid>
      <w:tr>
        <w:trPr>
          <w:tblHeader/>
        </w:trPr>
        <w:tc>
          <w:tcPr>
            <w:tcW w:type="dxa" w:w="318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74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доля</w:t>
            </w:r>
          </w:p>
        </w:tc>
        <w:tc>
          <w:tcPr>
            <w:tcW w:type="dxa" w:w="93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 месяц</w:t>
            </w:r>
          </w:p>
        </w:tc>
        <w:tc>
          <w:tcPr>
            <w:tcW w:type="dxa" w:w="449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Заготовки под чужой контент: вывески, табло, рамки, фоны с местом под текст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Второе место по отдаче ($0.288 на работу) при дешёвой генерации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Финансовые сценарии с поводом: учёба, отпуск, пенсия, ипотека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Первое место ($0.475). Продажи подтверждены копилками в шапочке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Кибербезопасность, мошенничество, утечки, AI-риски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Третье место ($0.220), спрос не сезонный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Медицина: препараты, уход за пожилыми, спортивные травмы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Ноль продаж на 42 работах, но работы свежие и не созрели. Тема с бюджетами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Логистика, транспорт, энергетика, промышленность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Пустое покрытие при устойчивом спросе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Недвижимость, страхование, дом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Стабильный B2B-спрос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Сезон и праздники на год вперёд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Самый высокий чек; генерировать за 12 месяцев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Спорт и ставки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Доказанный спрос, сезонность с сентября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Требования к каждой работе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Отвечает на вопрос «какую мысль этим проиллюстрируют». Нет ответа — не генерировать.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Есть свободное место под текст — прямо в промпте.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Изображена ситуация, а не предмет. «Копилка» — предмет. «Копим на учёбу» — ситуация.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более двух работ на пару «тема + подтема».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Перед заливкой партия проходит три замера из раздела 4.</w:t>
      </w:r>
    </w:p>
    <w:p>
      <w:pPr>
        <w:pStyle w:val="Heading1"/>
        <w:spacing w:after="160" w:before="320"/>
      </w:pPr>
      <w:r>
        <w:t xml:space="preserve">6. Метаданные</w:t>
      </w:r>
    </w:p>
    <w:p>
      <w:pPr>
        <w:pStyle w:val="Heading2"/>
        <w:spacing w:after="120" w:before="240"/>
      </w:pPr>
      <w:r>
        <w:t xml:space="preserve">Заголовок</w:t>
      </w:r>
    </w:p>
    <w:p>
      <w:pPr>
        <w:spacing w:after="120"/>
      </w:pPr>
      <w:r>
        <w:t xml:space="preserve">Формула: предмет с ключевой деталью + композиция и формат + две-три ниши применения. Третий блок пропускают чаще всего, и именно он делает работу находимой. Покупатель ищет не то, что изображено, а то, подо что это подойдёт.</w:t>
      </w:r>
    </w:p>
    <w:p>
      <w:pPr>
        <w:spacing w:after="120"/>
      </w:pPr>
      <w:r>
        <w:t xml:space="preserve">Лимит 70 символов без запятых — требование CSV-импорта. Правка опубликованных работ идёт через тот же канал, что и ручное редактирование, поэтому заголовок разворачивается до 100–150 символов с запятыми — это форма, которую имеют топ-продажи.</w:t>
      </w:r>
    </w:p>
    <w:p>
      <w:pPr>
        <w:pStyle w:val="Heading2"/>
        <w:spacing w:after="120" w:before="240"/>
      </w:pPr>
      <w:r>
        <w:t xml:space="preserve">Ключевые слова: 8–34 по кадру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310"/>
        <w:gridCol w:w="5242"/>
      </w:tblGrid>
      <w:tr>
        <w:trPr>
          <w:tblHeader/>
        </w:trPr>
        <w:tc>
          <w:tcPr>
            <w:tcW w:type="dxa" w:w="28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тип кадра</w:t>
            </w:r>
          </w:p>
        </w:tc>
        <w:tc>
          <w:tcPr>
            <w:tcW w:type="dxa" w:w="13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сколько</w:t>
            </w:r>
          </w:p>
        </w:tc>
        <w:tc>
          <w:tcPr>
            <w:tcW w:type="dxa" w:w="5242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Одиночный предмет или чистая фактура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8–12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градиентный баннер, бесшовный узор, осколок на чёрном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Предмет с контекстом и 2–3 нишами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14–20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копилка с чемоданом, ноутбук с предупреждением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Сцена с людьми, действием, обстановкой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22–34</w:t>
            </w:r>
          </w:p>
        </w:tc>
        <w:tc>
          <w:tcPr>
            <w:tcW w:type="dxa" w:w="52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медсестра с пациентом, хакер за двумя экранами, накрытый стол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Каждый ключевик отвечает на один из четырёх вопросов: что изображено, как снято, где и когда, подо что купят. Последний должен покрывать не меньше трети списка — иначе работа не найдётся по коммерческому запросу.</w:t>
      </w:r>
    </w:p>
    <w:p>
      <w:pPr>
        <w:spacing w:after="120"/>
      </w:pPr>
      <w:r>
        <w:t xml:space="preserve">Редакционные слова недооценены: editorial, blog, news, report, poster, presentation. Иллюстрации про мошенничество, эпидемии, цены на топливо покупают издания на недельном цикле, и ищут они именно так.</w:t>
      </w:r>
    </w:p>
    <w:p>
      <w:pPr>
        <w:pStyle w:val="Heading1"/>
        <w:spacing w:after="160" w:before="320"/>
      </w:pPr>
      <w:r>
        <w:t xml:space="preserve">7. Что сделано и что осталось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636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Механизм правки по media_id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Работает. 04_automation/METHOD.md, инструмент adobe_edit.js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Защита проданных работ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Встроена: 1 165 работ не правятся никогда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Журнал отредактированных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Пишется после каждого успешного ответа сервера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Переписано метаданных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1 344 работы, около 3 % портфеля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Реестр тем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06_knowledge/themes_registry.csv, пополняется автоматически</w:t>
            </w:r>
          </w:p>
        </w:tc>
      </w:tr>
      <w:tr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Осталось в выгрузке</w:t>
            </w:r>
          </w:p>
        </w:tc>
        <w:tc>
          <w:tcPr>
            <w:tcW w:type="dxa" w:w="63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433 работы уже скачаны и ждут разбора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Очередь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5429"/>
        <w:gridCol w:w="2808"/>
      </w:tblGrid>
      <w:tr>
        <w:trPr>
          <w:tblHeader/>
        </w:trPr>
        <w:tc>
          <w:tcPr>
            <w:tcW w:type="dxa" w:w="112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очередь</w:t>
            </w:r>
          </w:p>
        </w:tc>
        <w:tc>
          <w:tcPr>
            <w:tcW w:type="dxa" w:w="5429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именно</w:t>
            </w:r>
          </w:p>
        </w:tc>
        <w:tc>
          <w:tcPr>
            <w:tcW w:type="dxa" w:w="28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объём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Непроданные работы уже выгруженных страниц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~430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Непроданные работы деловых и технологических тем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~5 000</w:t>
            </w:r>
          </w:p>
        </w:tc>
      </w:tr>
      <w:t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Всё остальное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~35 000 — не начинать до замера эффекта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Как измерить, работает ли реоптимизация</w:t>
      </w:r>
    </w:p>
    <w:p>
      <w:pPr>
        <w:spacing w:after="120"/>
      </w:pPr>
      <w:r>
        <w:t xml:space="preserve">Перед очередью 2 отбираются две группы по 300 работ: одна тема, один месяц заливки, одинаковый уровень продаж. Первая правится, вторая не трогается 90 дней. Через 90 дней сравнивается число скачиваний. Разница меньше 20 % означает, что рычаг не работает и силы переносятся в генерацию целиком.</w:t>
      </w:r>
    </w:p>
    <w:p>
      <w:pPr>
        <w:spacing w:after="120"/>
      </w:pPr>
      <w:r>
        <w:rPr>
          <w:b/>
          <w:bCs/>
        </w:rPr>
        <w:t xml:space="preserve">Без этого замера очереди 2 и 3 — это месяцы работы вслепую.</w:t>
      </w:r>
    </w:p>
    <w:p>
      <w:pPr>
        <w:pStyle w:val="Heading1"/>
        <w:spacing w:after="160" w:before="320"/>
      </w:pPr>
      <w:r>
        <w:t xml:space="preserve">8. Диагностика падения</w:t>
      </w:r>
    </w:p>
    <w:p>
      <w:pPr>
        <w:spacing w:after="120"/>
      </w:pPr>
      <w:r>
        <w:t xml:space="preserve">Закрыто в v004, здесь для полноты. Заливки не прекращались — отклонения датированы вплоть до 23 августа 2026. Причина отказов автоматическая: Similar auto rejected. Апрель 2025 — точка перелома, тогда же завёрнуто 1 444 файла.</w:t>
      </w:r>
    </w:p>
    <w:p>
      <w:pPr>
        <w:spacing w:after="120"/>
      </w:pPr>
      <w:r>
        <w:t xml:space="preserve">Две ловушки, в которые легко попасть при повторном анализе: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Концентрация вместо коллапса. Одна работа давала 20 % дохода за два года и обвалилась после пяти месяцев. Но и без неё падение составляет −64 %, то есть обвал реальный. Всегда пересчитывать без топ-работы.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Лаг созревания на коротком окне. По 12 месяцам медиана выходила 438 дней, по 24 — 111 дней. Первая цифра была артефактом окна. Разница принципиальная: 111 дней означает, что осенняя генерация успевает к январскому пику.</w:t>
      </w:r>
    </w:p>
    <w:p>
      <w:pPr>
        <w:pStyle w:val="Heading1"/>
        <w:spacing w:after="160" w:before="320"/>
      </w:pPr>
      <w:r>
        <w:t xml:space="preserve">9. Сезонность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период</w:t>
            </w:r>
          </w:p>
        </w:tc>
        <w:tc>
          <w:tcPr>
            <w:tcW w:type="dxa" w:w="702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Сентябрь–октябрь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Пик объёма: 27 % годовых скачиваний за два месяца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Январь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Пик чека: $1.042 против среднего $0.807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Июль–август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Дно, вчетверо ниже пика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С учётом лага в 111 дней: под январский пик 2027 генерируем в сентябре–октябре 2026, под сентябрьский пик 2027 — в мае.</w:t>
      </w:r>
    </w:p>
    <w:p>
      <w:pPr>
        <w:pStyle w:val="Heading1"/>
        <w:spacing w:after="160" w:before="320"/>
      </w:pPr>
      <w:r>
        <w:t xml:space="preserve">10. Контрольные точки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411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должно быть</w:t>
            </w:r>
          </w:p>
        </w:tc>
        <w:tc>
          <w:tcPr>
            <w:tcW w:type="dxa" w:w="3744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как проверяется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30.09.2026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Падение остановлено, $2–4 в день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Сентябрь не ниже сентября 2025 (97 скачиваний)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31.12.2026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Очередь 1 закончена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edited_log.csv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31.12.2026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Партия по новым правилам прошла модерацию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Similar auto rejected ниже 10 % партии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31.03.2027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Измерен эффект реоптимизации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Сравнение двух групп по 300 работ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30.06.2027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$8–10 в день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Январский пик плюс созревшая осенняя генерация</w:t>
            </w:r>
          </w:p>
        </w:tc>
      </w:tr>
      <w:tr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31.12.2027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$30 в день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3 500–4 000 работ уровня топ-100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11. Чего мы не знаем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Доля отказов Tech problems по всему массиву. Это сбой Adobe, а не отказ по содержанию: такие файлы можно перезалить. В выборке из 40 их было около половины, но выборка смещённая.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Работает ли реоптимизация. Замер запланирован, до результатов очередь 3 не начинается.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Почему обвалилась работа 983178264. От ответа зависит, воспроизводим ли такой хит намеренно.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Состав оставшихся 41 тысячи работ. Разобрано 1 344, то есть 3 %. Выводы о портфеле в целом остаются экстраполяцией, хотя выборка уже достаточна, чтобы считать её представительной для партий 2025 года.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Свежие темы — медицина, спорт, энергетика, люди — показывают ноль продаж, но их работы моложе медианного лага в 111 дней. Проверять не раньше декабря 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2026-08-28T03:01:12.694Z</dcterms:created>
  <dcterms:modified xsi:type="dcterms:W3CDTF">2026-08-28T03:01:12.711Z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