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人员停派及恢复登记</w:t>
      </w:r>
    </w:p>
    <w:p>
      <w:pPr>
        <w:pStyle w:val="Heading1"/>
      </w:pPr>
      <w:r>
        <w:t>执行记录</w:t>
      </w:r>
    </w:p>
    <w:p>
      <w:r>
        <w:t>受理办公室，2026年6月30日。以下日期区间均含首尾日，局部恢复覆盖同一人员同一时段内原停派的指定服务类型。未涉及的类型仍执行原停派。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人员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起始日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末日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动作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范围或原因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SW-3-2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2026-04-15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2026-04-30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停派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继续教育脱产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SW-5-1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2026-05-04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2026-05-18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停派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岗位调整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SW-5-1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2026-05-11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2026-05-18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恢复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仅邻里小组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SW-2-2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2026-03-16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2026-03-30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停派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资格复核</w:t>
            </w:r>
          </w:p>
        </w:tc>
      </w:tr>
      <w:tr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SW-2-2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2026-03-23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2026-03-30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恢复</w:t>
            </w:r>
          </w:p>
        </w:tc>
        <w:tc>
          <w:tcPr>
            <w:tcW w:type="dxa" w:w="190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全部服务</w:t>
            </w:r>
          </w:p>
        </w:tc>
      </w:tr>
    </w:tbl>
    <w:p>
      <w:pPr>
        <w:pStyle w:val="Heading1"/>
      </w:pPr>
      <w:r>
        <w:t>当期岗位交接</w:t>
      </w:r>
    </w:p>
    <w:p>
      <w:r>
        <w:t>服务机构以其自身资格和履约记录承接工作。停止派遣与资格注销不同，本登记只改变实际可安排的时窗。对系统延迟录入的服务，应以发生日期比对，而非以录入日期规避停派。</w:t>
      </w:r>
    </w:p>
    <w:p>
      <w:r>
        <w:t>7月至8月的人员已另行报送，原停派不跨期推定延长。新一期请假和其他项目占用见人员可用工时表。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人员停派及恢复登记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