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邻里支持计划六月服务运行简报</w:t>
      </w:r>
    </w:p>
    <w:p>
      <w:pPr>
        <w:pStyle w:val="Heading1"/>
      </w:pPr>
      <w:r>
        <w:t>编报时点</w:t>
      </w:r>
    </w:p>
    <w:p>
      <w:r>
        <w:t>2026年6月24日。服务站将截至当日汇总用于内部周例会，6月25日以后的申报、撤销、补录和更正尚未入账。六月排班延续逐机构就近安排，小组报名者与现场出勤不完全一致；本简报不构成7月至8月的承接确认。</w:t>
      </w:r>
    </w:p>
    <w:p>
      <w:pPr>
        <w:pStyle w:val="Heading1"/>
      </w:pPr>
      <w:r>
        <w:t>运行情况</w:t>
      </w:r>
    </w:p>
    <w:p>
      <w:r>
        <w:t>目前各机构提交的台账显示小组出勤较稳定，到户服务因人员调整出现局部顺延。居民自行报名者与上门动员者均有参加，现行周报按活动统计人数，没有重建圈级日历的分配组差异。</w:t>
      </w:r>
    </w:p>
    <w:p>
      <w:r>
        <w:t>周会使用参加者访谈前后变化展示服务进展，尚未纳入未参加者和未联系到者；常规圈的居民也有到场。该结果仅用于观察服务进度，续约材料仍需按原实施设计复核。</w:t>
      </w:r>
    </w:p>
    <w:p>
      <w:r>
        <w:t>部分机构以人工整场时长作为小组汇总，又在人员成本中使用签到人次分摊；财务科要求在中期统一工时与价款口径，避免反映同一工作量的两个口径相加。</w:t>
      </w:r>
    </w:p>
    <w:p>
      <w:pPr>
        <w:pStyle w:val="Heading1"/>
      </w:pPr>
      <w:r>
        <w:t>排班沿用情况</w:t>
      </w:r>
    </w:p>
    <w:p>
      <w:r>
        <w:t>现有轮班稿记录社区、星期与上午下午，不包含跨站路程和前后准备。六月班次全部采用每周小组；到户支持由原承接人员按空档填排。7月至8月因新增报名、站点维护及志愿保单期限，需重新核定。</w:t>
      </w:r>
    </w:p>
    <w:p>
      <w:r>
        <w:t>居民复访提出合组意向，也有继续保持六人组的要求。跨组安排需检查同社区、共同工作日及12人容量。有关成本节约只在确实合组并排入同一场次后确认。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邻里支持计划六月服务运行简报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