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步行采集与通道变更记录</w:t>
      </w:r>
    </w:p>
    <w:p>
      <w:pPr>
        <w:pStyle w:val="Heading1"/>
      </w:pPr>
      <w:r>
        <w:t>测量记录</w:t>
      </w:r>
    </w:p>
    <w:p>
      <w:r>
        <w:t>2026年6月完成服务圈至站点通路采集。walk_point每行是一秒采样位置，t_s为该段经过秒数；按trip分别以最大t_s减最小t_s得到段通行时间。坐标是本地平面米制，定位抖动不是实际绕行，不能把逐点抖动距离加总后换算通行时间。is_edge是起止靠边记录，不是无效点标记。</w:t>
      </w:r>
    </w:p>
    <w:p>
      <w:r>
        <w:t>路段登记的u、v表示两端节点，各路段双向开放，单独的通道变更记录可以局部覆盖。每段8次记录，分普通及辅助步行，并分干燥和雨后。对同类同天气样本按最近秩法取P90：排序后第ceil(0.9n)项。计算最短时间路径时，先形成对应条件下的边权，再按可通行边求路径；不能把普通路网路径用辅助时间简单相乘。</w:t>
      </w:r>
    </w:p>
    <w:p>
      <w:r>
        <w:t>服务圈地点由设施登记的节点与楼院对应。步行路网GeoJSON的坐标单位为米，线路端点、点位名称及节点码同时保留。成果GeoJSON沿用此本地坐标定义，不声称是经纬度。</w:t>
      </w:r>
    </w:p>
    <w:p>
      <w:pPr>
        <w:pStyle w:val="Heading1"/>
      </w:pPr>
      <w:r>
        <w:t>通道作业排期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tblHeader/>
        </w:trPr>
        <w:tc>
          <w:tcPr>
            <w:tcW w:type="dxa" w:w="190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路段号</w:t>
            </w:r>
          </w:p>
        </w:tc>
        <w:tc>
          <w:tcPr>
            <w:tcW w:type="dxa" w:w="190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生效起日</w:t>
            </w:r>
          </w:p>
        </w:tc>
        <w:tc>
          <w:tcPr>
            <w:tcW w:type="dxa" w:w="190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生效止日</w:t>
            </w:r>
          </w:p>
        </w:tc>
        <w:tc>
          <w:tcPr>
            <w:tcW w:type="dxa" w:w="190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通行安排</w:t>
            </w:r>
          </w:p>
        </w:tc>
        <w:tc>
          <w:tcPr>
            <w:tcW w:type="dxa" w:w="190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通行范围</w:t>
            </w:r>
          </w:p>
        </w:tc>
      </w:tr>
      <w:tr>
        <w:tc>
          <w:tcPr>
            <w:tcW w:type="dxa" w:w="190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L6C5SBMXW</w:t>
            </w:r>
          </w:p>
        </w:tc>
        <w:tc>
          <w:tcPr>
            <w:tcW w:type="dxa" w:w="190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2026-07-06</w:t>
            </w:r>
          </w:p>
        </w:tc>
        <w:tc>
          <w:tcPr>
            <w:tcW w:type="dxa" w:w="190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2026-08-28</w:t>
            </w:r>
          </w:p>
        </w:tc>
        <w:tc>
          <w:tcPr>
            <w:tcW w:type="dxa" w:w="190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封闭</w:t>
            </w:r>
          </w:p>
        </w:tc>
        <w:tc>
          <w:tcPr>
            <w:tcW w:type="dxa" w:w="190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施工围挡</w:t>
            </w:r>
          </w:p>
        </w:tc>
      </w:tr>
      <w:tr>
        <w:tc>
          <w:tcPr>
            <w:tcW w:type="dxa" w:w="190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LTR9NUFXV</w:t>
            </w:r>
          </w:p>
        </w:tc>
        <w:tc>
          <w:tcPr>
            <w:tcW w:type="dxa" w:w="190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2026-07-06</w:t>
            </w:r>
          </w:p>
        </w:tc>
        <w:tc>
          <w:tcPr>
            <w:tcW w:type="dxa" w:w="190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2026-08-28</w:t>
            </w:r>
          </w:p>
        </w:tc>
        <w:tc>
          <w:tcPr>
            <w:tcW w:type="dxa" w:w="190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封闭</w:t>
            </w:r>
          </w:p>
        </w:tc>
        <w:tc>
          <w:tcPr>
            <w:tcW w:type="dxa" w:w="190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施工围挡</w:t>
            </w:r>
          </w:p>
        </w:tc>
      </w:tr>
      <w:tr>
        <w:tc>
          <w:tcPr>
            <w:tcW w:type="dxa" w:w="190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LGC4ZV2M6</w:t>
            </w:r>
          </w:p>
        </w:tc>
        <w:tc>
          <w:tcPr>
            <w:tcW w:type="dxa" w:w="190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2026-07-06</w:t>
            </w:r>
          </w:p>
        </w:tc>
        <w:tc>
          <w:tcPr>
            <w:tcW w:type="dxa" w:w="190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2026-08-28</w:t>
            </w:r>
          </w:p>
        </w:tc>
        <w:tc>
          <w:tcPr>
            <w:tcW w:type="dxa" w:w="190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封闭</w:t>
            </w:r>
          </w:p>
        </w:tc>
        <w:tc>
          <w:tcPr>
            <w:tcW w:type="dxa" w:w="190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施工围挡</w:t>
            </w:r>
          </w:p>
        </w:tc>
      </w:tr>
      <w:tr>
        <w:tc>
          <w:tcPr>
            <w:tcW w:type="dxa" w:w="190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LTR9NUFXV</w:t>
            </w:r>
          </w:p>
        </w:tc>
        <w:tc>
          <w:tcPr>
            <w:tcW w:type="dxa" w:w="190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2026-07-20</w:t>
            </w:r>
          </w:p>
        </w:tc>
        <w:tc>
          <w:tcPr>
            <w:tcW w:type="dxa" w:w="190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2026-08-28</w:t>
            </w:r>
          </w:p>
        </w:tc>
        <w:tc>
          <w:tcPr>
            <w:tcW w:type="dxa" w:w="190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恢复</w:t>
            </w:r>
          </w:p>
        </w:tc>
        <w:tc>
          <w:tcPr>
            <w:tcW w:type="dxa" w:w="190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仅普通步行</w:t>
            </w:r>
          </w:p>
        </w:tc>
      </w:tr>
    </w:tbl>
    <w:p>
      <w:r>
        <w:t>上表列明7月至8月通道作业的计划生效区间，按所列起止日期安排封闭或恢复。恢复仅开放注明的步行类型；辅助步行不通过台阶。天气情景按采集记录匹配，不将雨后数据混进基础干燥均值。</w:t>
      </w:r>
    </w:p>
    <w:p>
      <w:pPr>
        <w:pStyle w:val="Heading1"/>
      </w:pPr>
      <w:r>
        <w:t>场地维修</w:t>
      </w:r>
    </w:p>
    <w:p>
      <w:r>
        <w:t>第4周桥西服务站周三下午设备检修，不安排布置、服务和撤场；第6周柳岸邻里会客厅全周停用。前述暂停分别覆盖对应房间时段，不撤销其他站点预约。时间冲突按占用含前后准备计算。</w:t>
      </w:r>
    </w:p>
    <w:sectPr w:rsidR="00FC693F" w:rsidRPr="0006063C" w:rsidSect="00034616">
      <w:footerReference w:type="default" r:id="rId9"/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Times New Roman" w:hAnsi="Times New Roman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64" w:lineRule="auto"/>
    </w:pPr>
    <w:rPr>
      <w:rFonts w:ascii="Times New Roman" w:hAnsi="Times New Roman" w:eastAsia="宋体"/>
      <w:color w:val="000000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64" w:lineRule="auto"/>
    </w:pPr>
    <w:rPr>
      <w:rFonts w:ascii="Times New Roman" w:hAnsi="Times New Roman" w:eastAsia="宋体"/>
      <w:color w:val="000000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264" w:lineRule="auto"/>
      <w:outlineLvl w:val="0"/>
    </w:pPr>
    <w:rPr>
      <w:rFonts w:ascii="Times New Roman" w:hAnsi="Times New Roman" w:eastAsia="宋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64" w:lineRule="auto"/>
      <w:outlineLvl w:val="1"/>
    </w:pPr>
    <w:rPr>
      <w:rFonts w:ascii="Times New Roman" w:hAnsi="Times New Roman" w:eastAsia="宋体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64" w:lineRule="auto"/>
      <w:contextualSpacing/>
    </w:pPr>
    <w:rPr>
      <w:rFonts w:ascii="Times New Roman" w:hAnsi="Times New Roman" w:eastAsia="宋体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DocSecurity>0</DocSecurity>
  <ScaleCrop>false</ScaleCrop>
  <Manager/>
  <Company/>
  <LinksUpToDate>false</LinksUpToDate>
  <SharedDoc>false</SharedDoc>
  <HyperlinkBase/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步行采集与通道变更记录</dc:title>
  <dc:subject>邻里支持计划</dc:subject>
  <dc:creator>榕桥街道社会工作服务站</dc:creator>
  <cp:keywords/>
  <dc:description/>
  <cp:lastModifiedBy>榕桥街道社会工作服务站</cp:lastModifiedBy>
  <cp:revision>1</cp:revision>
  <cp:category/>
</cp:coreProperties>
</file>