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邻里支持计划服务规范与连续性约定</w:t>
      </w:r>
    </w:p>
    <w:p>
      <w:pPr>
        <w:pStyle w:val="Heading1"/>
      </w:pPr>
      <w:r>
        <w:t>服务单位</w:t>
      </w:r>
    </w:p>
    <w:p>
      <w:r>
        <w:t>上段到户探访按实际本人到场45分钟计，已批准的长时服务以开始、结束记录为准；邻里小组每场90分钟，签到行为是一名居民的出勤，一场的带组人工不得按签到人数重复记整场。合同按每名出勤者16分之一带组人工计价，参与人数不足16人不提高其他人的单价。签到相同并不等于同一个人；同一服务episode多次申报只支付一次。</w:t>
      </w:r>
    </w:p>
    <w:p>
      <w:r>
        <w:t>停止服务的同意范围以本人来访受理文字为准。停止后续联系不撤销已经履行的服务和已获准的历史匿名统计。服务卡补发按生效时间识别，原卡在生效前的历史不能改归其他人。</w:t>
      </w:r>
    </w:p>
    <w:p>
      <w:pPr>
        <w:pStyle w:val="Heading1"/>
      </w:pPr>
      <w:r>
        <w:t>下段方式</w:t>
      </w:r>
    </w:p>
    <w:p>
      <w:r>
        <w:t>到户报名组每组6人，是同一楼院约定同行或错时接受服务的居民。每人八周内至少4次45分钟到户探访，安排在第1、3、5、7周或第2、4、6、8周，同一人相邻两次间隔不超过16天。不得用小组或电话代替到户。没有撤回报名记录的到户对象全部持续服务。</w:t>
      </w:r>
    </w:p>
    <w:p>
      <w:r>
        <w:t>其余报名组可采用每周90分钟小组，或隔周90分钟小组，隔周方案须安排4场。每场6至12人；同社区且有共同报名时窗的两个六人组可以合组，合组之后必须同场、同带组社工和同一志愿者，整场人工和场租只计一次。每名报名者只参加一种排定方案，不得在覆盖人数中重复。</w:t>
      </w:r>
    </w:p>
    <w:p>
      <w:r>
        <w:t>每个社区至少承接普通报名两类中合计的一半人数；社区覆盖分母为其全部未撤回报名者，分子为取得足量服务的去重人数。到户及普通对象一起计入社区比例。报名组原则不拆散，除非受理记录明确更正组员。优先顺序依次为到户不断档、六社区最低覆盖比例、按每名对象14减已有可靠支持日数乘服务完成比例的加权服务量（到户完成四次计1，小组实际完成场次除8计比例，每人最多计1）、总资源成本。</w:t>
      </w:r>
    </w:p>
    <w:p>
      <w:pPr>
        <w:pStyle w:val="Heading1"/>
      </w:pPr>
      <w:r>
        <w:t>人员和日历</w:t>
      </w:r>
    </w:p>
    <w:p>
      <w:r>
        <w:t>社工服务时间为工作日09:00至12:00、14:00至17:00，场次和路程均计入工时。一次到户只占一名社工；两名社工可以同时服务同组不同住户，但同一社工不能同时出现在不同住户。相同楼院两户之间预留10分钟，跨楼院及往返服务站按通达测量的适用P90时间加5分钟交接核算。上午、下午均从该社工所属站点出发并返回；午间不占用服务时段。</w:t>
      </w:r>
    </w:p>
    <w:p>
      <w:r>
        <w:t>一场小组配1名有资格社工和1名完成岗前培训且保险覆盖当日的志愿者，志愿者不能替代社工独立承担到户。小组前后各15分钟布置清场占用场地及两人时间，场租按整场120分钟计算，社工工资和志愿补贴亦按120分钟计算。居民出行采用普通步行P90；需辅助步行者采用辅助P90且禁台阶。单程不超过45分钟。到户对象不受出行时限影响。</w:t>
      </w:r>
    </w:p>
    <w:p>
      <w:r>
        <w:t>每人有一个主报名工作日和一个备选工作日，两日的上午或下午均可；其他日不排。普通小组每场同一时间，周次可调整但足量不得减少。第4周桥西服务站周三下午维修；第6周柳岸邻里会客厅全周停用。跨机构借人只能列为原机构派员，不能把其资格和工时记为另一机构自有能力。</w:t>
      </w:r>
    </w:p>
    <w:p>
      <w:r>
        <w:t>前两周到户仍由原登记承接机构负责；后续如需换机构，首次交接另计两机构各30分钟社工工时和工资，须与居民本次到户同时或相邻安排。任何机构承担的人数不得超过总承接人数的35%。对各机构已用容量按其提供的可用工时扣减其他项目占用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="Times New Roman" w:hAnsi="Times New Roman" w:eastAsia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邻里支持计划服务规范与连续性约定</dc:title>
  <dc:subject>邻里支持计划</dc:subject>
  <dc:creator>榕桥街道社会工作服务站</dc:creator>
  <cp:keywords/>
  <dc:description/>
  <cp:lastModifiedBy>榕桥街道社会工作服务站</cp:lastModifiedBy>
  <cp:revision>1</cp:revision>
  <cp:category/>
</cp:coreProperties>
</file>