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邻里支持计划动员实施与分析约定</w:t>
      </w:r>
    </w:p>
    <w:p>
      <w:pPr>
        <w:pStyle w:val="Heading1"/>
      </w:pPr>
      <w:r>
        <w:t>实施设计</w:t>
      </w:r>
    </w:p>
    <w:p>
      <w:r>
        <w:t>2026年1月20日，服务站确定30个相邻楼院服务圈。每两个服务圈按登记规模和邻里条件配对，每对独立掷签决定一个圈先收到上门动员邀请，另一圈维持原有公告和自主报名。服务向两圈均开放；未受邀请者仍可参加，受邀请者也可以不参加。签位结果记录的是邀请政策，不是实际参加。分配单元是服务圈，不是个人；分析保留原分配，即使其搬组、缺席或另行报名。</w:t>
      </w:r>
    </w:p>
    <w:p>
      <w:r>
        <w:t>每圈登记60人。基线观察窗为2月2日至2月15日，首轮成效窗为4月13日至4月26日，延续随访窗为6月8日至6月21日。访谈可以在窗后完成，但追忆日历的日期决定观察窗。原受理样本是全部完成基线登记者，不以出勤为入组条件。</w:t>
      </w:r>
    </w:p>
    <w:p>
      <w:pPr>
        <w:pStyle w:val="Heading1"/>
      </w:pPr>
      <w:r>
        <w:t>预先约定的主要与辅助结果</w:t>
      </w:r>
    </w:p>
    <w:p>
      <w:r>
        <w:t>主要结果为14天中有20分钟以上面对面非同住者交往的天数，以及有支持需求但未获得帮助的天数。电话和网络联系另作辅助统计；不能把联系次数加总当作天数。将每人每波完整日历重建后再计算，缺一天或关键项缺项则该指标该波不可用，不补作零。明显录入冲突按受理更改单恢复，不能按照有利于效果的方向选值。</w:t>
      </w:r>
    </w:p>
    <w:p>
      <w:r>
        <w:t>每圈均值先由该圈可观测对象计算。每对的邀请圈减常规圈差值，再对15对等权平均。报告两项结果的点估计、配对层级95%区间、在配对内互换邀请标签的双侧精确随机化检验以及两主要结果的Holm校正。95%区间采用15个配对差值的t区间，说明其与精确检验边界不同。两轮分别报告，首轮为拨款判断依据。</w:t>
      </w:r>
    </w:p>
    <w:p>
      <w:r>
        <w:t>检查基线圈级差异，以基线至首轮变化差做敏感性比较；不可用一般个体标准误替代分配层级推断。报告按圈和邀请组的失访，给出有界结果下原始登记总体的最保守与最乐观界限，不把完整个案结论称作全体结果。缺失界限分别对缺失者取0或14，支持未获助方向与交往方向分别说明。</w:t>
      </w:r>
    </w:p>
    <w:p>
      <w:r>
        <w:t>每对所有人员的原分配用于精确检验；缺失模式保持观测状态，仅交换圈标签。精确p值含观察到的分配，无需在完整枚举之外再加一次伪计数。基线和敏感性不是额外主要结果，不并入两项主要结果校正。</w:t>
      </w:r>
    </w:p>
    <w:p>
      <w:r>
        <w:t>实际参加的首阶段差只作执行解释；至少两次不同日期的未撤销服务视为参加。除非论证邀请仅通过实际服务影响结果、单调性和外溢条件，否则不把ITT除参加率差称为普遍服务效果。外溢接触记录用于界定偏离无干扰假设的程度，不据事后外溢删除对象。</w:t>
      </w:r>
    </w:p>
    <w:p>
      <w:pPr>
        <w:pStyle w:val="Heading1"/>
      </w:pPr>
      <w:r>
        <w:t>追加款条件</w:t>
      </w:r>
    </w:p>
    <w:p>
      <w:r>
        <w:t>公共购买项下60,000元追加额度须同时达到：首轮交往天数邀请效应点估计至少0.8天；该项配对95%区间下限大于0；两主要结果中交往改善和未获助减少均达到Holm双侧0.05；两邀请组分别失访率不超过5%；交往天数的全登记总体最保守界限不为负。条件未满足时仍完成服务，但追加额度不得进入基础排程现金。满足后第7周周初到账，只有会签后的基础额度及中期尾款可提前使用。</w:t>
      </w:r>
    </w:p>
    <w:p>
      <w:r>
        <w:t>材料中的国际方法手册用于分析方法和社会成本口径，不构成本地采购和服务资格的法律依据。应结合国内原文、合同、实施约定分别说明适用层次。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64" w:lineRule="auto"/>
    </w:pPr>
    <w:rPr>
      <w:rFonts w:ascii="Times New Roman" w:hAnsi="Times New Roman" w:eastAsia="宋体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64" w:lineRule="auto"/>
      <w:outlineLvl w:val="0"/>
    </w:pPr>
    <w:rPr>
      <w:rFonts w:ascii="Times New Roman" w:hAnsi="Times New Roman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4" w:lineRule="auto"/>
      <w:outlineLvl w:val="1"/>
    </w:pPr>
    <w:rPr>
      <w:rFonts w:ascii="Times New Roman" w:hAnsi="Times New Roman" w:eastAsia="宋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64" w:lineRule="auto"/>
      <w:contextualSpacing/>
    </w:pPr>
    <w:rPr>
      <w:rFonts w:ascii="Times New Roman" w:hAnsi="Times New Roman" w:eastAsia="宋体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邻里支持计划动员实施与分析约定</dc:title>
  <dc:subject>邻里支持计划</dc:subject>
  <dc:creator>榕桥街道社会工作服务站</dc:creator>
  <cp:keywords/>
  <dc:description/>
  <cp:lastModifiedBy>榕桥街道社会工作服务站</cp:lastModifiedBy>
  <cp:revision>1</cp:revision>
  <cp:category/>
</cp:coreProperties>
</file>