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配对分配及动员签位记录</w:t>
      </w:r>
    </w:p>
    <w:p>
      <w:pPr>
        <w:pStyle w:val="Heading1"/>
      </w:pPr>
      <w:r>
        <w:t>签位记载</w:t>
      </w:r>
    </w:p>
    <w:p>
      <w:r>
        <w:t>2026年1月20日。每对掷签一次，红签为上门动员，白签为维持日常开放报名。圈名以楼院地标记录；访谈批次号由外勤按送册路线分配，不含分配含义。服务圈登记编号另见窗口登记。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</w:trP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配对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楼院地标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访问批次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签位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榕安松庭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YL-514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白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榕安兰庭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YL-873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红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榕安竹庭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YL-544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白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榕安荷庭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YL-349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红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榕安桂庭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YL-151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红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桥西松庭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YL-159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白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桥西兰庭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YL-654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红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桥西竹庭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YL-924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白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桥西荷庭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YL-346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白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桥西桂庭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YL-648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红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溪南松庭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YL-536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白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溪南兰庭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YL-274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红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溪南竹庭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YL-214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红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溪南荷庭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YL-395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白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溪南桂庭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YL-546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白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石湾松庭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YL-436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红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石湾兰庭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YL-649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白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石湾竹庭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YL-272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红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石湾荷庭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YL-739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白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石湾桂庭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YL-558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红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11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同和松庭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YL-404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红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11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同和兰庭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YL-767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白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同和竹庭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YL-526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红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同和荷庭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YL-523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白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13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同和桂庭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YL-552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红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13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柳岸松庭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YL-559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白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14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柳岸兰庭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YL-905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红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14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柳岸竹庭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YL-817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白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柳岸荷庭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YL-332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红</w:t>
            </w:r>
          </w:p>
        </w:tc>
      </w:tr>
      <w:tr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柳岸桂庭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YL-644</w:t>
            </w:r>
          </w:p>
        </w:tc>
        <w:tc>
          <w:tcPr>
            <w:tcW w:type="dxa" w:w="238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白</w:t>
            </w:r>
          </w:p>
        </w:tc>
      </w:tr>
    </w:tbl>
    <w:p>
      <w:pPr>
        <w:pStyle w:val="Heading1"/>
      </w:pPr>
      <w:r>
        <w:t>保留范围</w:t>
      </w:r>
    </w:p>
    <w:p>
      <w:r>
        <w:t>后续接触、参加和卡片更换不修改签位。圈边界与人员以最初受理为准，按圈等权而非按出勤人数给配对加权。签位记录由服务站项目办公室保管，不向受访者解释分配结果。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64" w:lineRule="auto"/>
      <w:outlineLvl w:val="0"/>
    </w:pPr>
    <w:rPr>
      <w:rFonts w:ascii="Times New Roman" w:hAnsi="Times New Roman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="Times New Roman" w:hAnsi="Times New Roman" w:eastAsia="宋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4" w:lineRule="auto"/>
      <w:contextualSpacing/>
    </w:pPr>
    <w:rPr>
      <w:rFonts w:ascii="Times New Roman" w:hAnsi="Times New Roman" w:eastAsia="宋体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配对分配及动员签位记录</dc:title>
  <dc:subject>邻里支持计划</dc:subject>
  <dc:creator>榕桥街道社会工作服务站</dc:creator>
  <cp:keywords/>
  <dc:description/>
  <cp:lastModifiedBy>榕桥街道社会工作服务站</cp:lastModifiedBy>
  <cp:revision>1</cp:revision>
  <cp:category/>
</cp:coreProperties>
</file>