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邻里支持计划购买服务合同共同条款</w:t>
      </w:r>
    </w:p>
    <w:p>
      <w:pPr>
        <w:pStyle w:val="Heading1"/>
      </w:pPr>
      <w:r>
        <w:t>价款和服务范围</w:t>
      </w:r>
    </w:p>
    <w:p>
      <w:r>
        <w:t>本合同共同条款适用于RJ-GM-2026-17至RJ-GM-2026-22，期限为2026年3月2日至8月28日。分项单价和机构名称按合同登记簿。政府购买款只覆盖已入目录的邻里支持和到户服务。增购固定资产、融资费用、行政审批和机构招聘不混入本项服务价款。</w:t>
      </w:r>
    </w:p>
    <w:p>
      <w:r>
        <w:t>上段服务以每一episode到场记录及资格可用范围核定。到户人工单价为机构小时价乘实际分钟除60；小组每名出勤者的单价为机构小时价乘实际分钟除60再除16。金额按每条合格记录四舍五入到分，合计不再次调整各条尾差。机构发起撤销后，原服务自发生日起冲减；同一episode重复请求不产生第二份债权。</w:t>
      </w:r>
    </w:p>
    <w:p>
      <w:pPr>
        <w:pStyle w:val="Heading1"/>
      </w:pPr>
      <w:r>
        <w:t>资格和证据</w:t>
      </w:r>
    </w:p>
    <w:p>
      <w:r>
        <w:t>社工的常态登记有效期、专项停派和局部恢复共同决定当日可承担的服务。局部恢复不扩大到未恢复的类型。上段停派记录不会自动延伸到下段，7月至8月使用重新报送的人员可用工时与请假。已登记但证据不足的收费留待补正，不以财务已入账证明服务发生。</w:t>
      </w:r>
    </w:p>
    <w:p>
      <w:r>
        <w:t>本次将原始申报分为可核定价款、重复请求、不具备可支付依据的请求。每一申报行必须有唯一去向，核减不能从机构总额倒挤。原申报金额可与合同复算金额不同，应保留差异而非修改原始单据。</w:t>
      </w:r>
    </w:p>
    <w:p>
      <w:pPr>
        <w:pStyle w:val="Heading1"/>
      </w:pPr>
      <w:r>
        <w:t>实际成本与付款</w:t>
      </w:r>
    </w:p>
    <w:p>
      <w:r>
        <w:t>实际成本台账保留原机构各资金来源记账。共同成本分配：人员按核定服务工时，场地按实际占用房间时长，交通按到户出勤日，材料按去重实际参加人数。先在机构成本类别内分配至服务类型，再在同类型内分配至服务圈。不得把已付服务价款与机构实际成本重复计入总成本。</w:t>
      </w:r>
    </w:p>
    <w:p>
      <w:r>
        <w:t>结算回款预测为上段核定价款的10%，第4周周初纳入公共购买资金池，六家尾款分别取整到分后求和。其余上段已付款仅用于历史对账，不进入下段资金。存量设备账面价值与已经发生的上段成本不作为下段增量成本，但原器材替换方案发生的新支出应据实比较。</w:t>
      </w:r>
    </w:p>
    <w:p>
      <w:r>
        <w:t>社会资源成本报告人工、场地、交通材料及志愿时间的机会成本；志愿时间统一按24元每小时估值，不把捐款或公共购买拨付本身当作社会收益。现金支出则按合同实际支付，对志愿者仅列约定交通餐费和保险。</w:t>
      </w:r>
    </w:p>
    <w:p>
      <w:pPr>
        <w:pStyle w:val="Heading1"/>
      </w:pPr>
      <w:r>
        <w:t>变更边界</w:t>
      </w:r>
    </w:p>
    <w:p>
      <w:r>
        <w:t>本次为承接调整建议，不得直接转包或承诺预算之外的增购。跨机构交接、合组、停用场地和延期应在计划中明确责任与费用，签署后才能生效。不得自行筹设借款填补现金缺口，已登记机构桥接限额只代表使用自有周转资金，可用峰值和归还周须列明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邻里支持计划购买服务合同共同条款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