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邻里支持计划资金使用与八周拨付安排</w:t>
      </w:r>
    </w:p>
    <w:p>
      <w:pPr>
        <w:pStyle w:val="Heading1"/>
      </w:pPr>
      <w:r>
        <w:t>资金边界</w:t>
      </w:r>
    </w:p>
    <w:p>
      <w:r>
        <w:t>三个资金池分账核算。公共购买可支付直接社工工资、工作交通、普通小组场租、材料、志愿服务补贴与保险，以及不超过所付直接成本8%的管理费；到户专项仅支付到户服务的社工直接工资和交通，不用于小组、场租、机构管理或交接；自有资金承担不予报销成本及桥接。每笔支出拆分资金来源后不得重复报销。</w:t>
      </w:r>
    </w:p>
    <w:p>
      <w:r>
        <w:t>资金登记簿列基础拨付日及最低周末余额。第4周中期尾款按共同条款复算；第7周追加额度按分析约定判断。计划成本不超过各池可使用上限，逐周现金余额不低于其准备金。必要时机构按登记限额提供无息桥接，归还安排不得晚于第8周，公共购买账不得成为到户专项的临时借出方。</w:t>
      </w:r>
    </w:p>
    <w:p>
      <w:pPr>
        <w:pStyle w:val="Heading1"/>
      </w:pPr>
      <w:r>
        <w:t>下段现金计量</w:t>
      </w:r>
    </w:p>
    <w:p>
      <w:r>
        <w:t>社工工资按服务、准备、交接和路程实际分钟除60乘机构小时价。跨楼院往返路程使用原始轨迹的适用P90并向上取整到分钟，同一楼院相邻住户固定10分钟；路程工资与服务工资分行，固定交通费每位社工每个到户出勤半天18元。</w:t>
      </w:r>
    </w:p>
    <w:p>
      <w:r>
        <w:t>小组按场地小时价乘2小时；材料每人每场6元；志愿者每人每场交通餐费12元。参加下段服务的志愿者按人一次性18元购买期内补充保险，即使已有部分期限保单也按登记供应商的全期统一方案计；不得把保险到期的志愿者在没有补充保险支出时安排进后段。</w:t>
      </w:r>
    </w:p>
    <w:p>
      <w:r>
        <w:t>任何机构在某周有服务或承担交接，即产生该机构登记的周管理成本。先作为真实成本计入，再判断公共购买8%限额与自有资金分担，不能把超限部分消失。工资、场租、材料和交通在服务周末支付；保险在该志愿者首次服务周周初支付；管理成本在活动周末支付。</w:t>
      </w:r>
    </w:p>
    <w:p>
      <w:r>
        <w:t>社区协作班次需要取消或改用到户时，工资、路程、材料、志愿补贴、场租和资金用途同时改变。所有情景的费用均从自己的最终日历逐项重算，不给不满足足量服务的对象计覆盖。</w:t>
      </w:r>
    </w:p>
    <w:p>
      <w:pPr>
        <w:pStyle w:val="Heading1"/>
      </w:pPr>
      <w:r>
        <w:t>压力情景</w:t>
      </w:r>
    </w:p>
    <w:p>
      <w:r>
        <w:t>基础方案形成后，单独复算公共购买第二笔拨款推迟一周，以及雨后辅助步行速度两类压力情景。不得将两个情景的不利条件无依据地叠加。延迟拨款情景保持到户连续性和已承诺普通小组最低量，提出不超过登记桥接能力的调整；雨后情景可以调站或改日，但不能忽略台阶与封闭。</w:t>
      </w:r>
    </w:p>
    <w:p>
      <w:r>
        <w:t>对不能承接的普通组逐组给出未服务人数、缺口原因、所需增加资金或容量和可启动日期；不得把实际没有得到排班的报名者计入推荐方案。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邻里支持计划资金使用与八周拨付安排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