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C3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CH1.11.1 标准清单及符合性声明</w:t>
      </w:r>
    </w:p>
    <w:p w14:paraId="41B3F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8" w:firstLineChars="228"/>
        <w:textAlignment w:val="auto"/>
        <w:rPr>
          <w:rFonts w:hint="eastAsia" w:ascii="Times New Roman" w:hAnsi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>申报产品符合现行国家标准、行业标准，并提供符合标准的清单。</w:t>
      </w:r>
    </w:p>
    <w:p w14:paraId="56296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8" w:firstLineChars="228"/>
        <w:textAlignment w:val="auto"/>
        <w:rPr>
          <w:rFonts w:hint="eastAsia" w:ascii="Times New Roman" w:hAnsi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>申报注册产品符合现行国家标准、行业标准，标准的清单如下：</w:t>
      </w:r>
    </w:p>
    <w:tbl>
      <w:tblPr>
        <w:tblStyle w:val="8"/>
        <w:tblW w:w="8879" w:type="dxa"/>
        <w:tblInd w:w="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2700"/>
        <w:gridCol w:w="5520"/>
      </w:tblGrid>
      <w:tr w14:paraId="4B582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053AC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425" w:leftChars="0" w:hanging="425" w:firstLineChars="0"/>
              <w:jc w:val="center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509014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 191-2008</w:t>
            </w:r>
          </w:p>
        </w:tc>
        <w:tc>
          <w:tcPr>
            <w:tcW w:w="5520" w:type="dxa"/>
            <w:vAlign w:val="center"/>
          </w:tcPr>
          <w:p w14:paraId="2448B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包装储运图示标志</w:t>
            </w:r>
          </w:p>
        </w:tc>
      </w:tr>
      <w:tr w14:paraId="56E4F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35AA36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21052F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 4793-2024</w:t>
            </w:r>
          </w:p>
        </w:tc>
        <w:tc>
          <w:tcPr>
            <w:tcW w:w="5520" w:type="dxa"/>
            <w:vAlign w:val="center"/>
          </w:tcPr>
          <w:p w14:paraId="54A24D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测量、控制和实验室用电气设备安全技术规范</w:t>
            </w:r>
          </w:p>
        </w:tc>
      </w:tr>
      <w:tr w14:paraId="0C728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45A816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30621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 42125.1-2024</w:t>
            </w:r>
          </w:p>
        </w:tc>
        <w:tc>
          <w:tcPr>
            <w:tcW w:w="5520" w:type="dxa"/>
            <w:vAlign w:val="center"/>
          </w:tcPr>
          <w:p w14:paraId="741F1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测量、控制和实验室用电气设备的安全要求 第1部分：通用要求</w:t>
            </w:r>
          </w:p>
        </w:tc>
      </w:tr>
      <w:tr w14:paraId="42E05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789E1E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25851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GB/T42125.2-2024</w:t>
            </w:r>
          </w:p>
        </w:tc>
        <w:tc>
          <w:tcPr>
            <w:tcW w:w="5520" w:type="dxa"/>
            <w:vAlign w:val="center"/>
          </w:tcPr>
          <w:p w14:paraId="5F02BC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测量、控制和实验室用电气设备的安全要求 第 2 部分：材料加热用实验室设备的特殊要求</w:t>
            </w:r>
          </w:p>
        </w:tc>
      </w:tr>
      <w:tr w14:paraId="3C12B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13AD45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557689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YY 0648-2008</w:t>
            </w:r>
          </w:p>
        </w:tc>
        <w:tc>
          <w:tcPr>
            <w:tcW w:w="5520" w:type="dxa"/>
            <w:vAlign w:val="center"/>
          </w:tcPr>
          <w:p w14:paraId="48E0B4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测量、控制和实验室用电气设备的安全要求第2-101部分：体外诊断(IVD)医用设备的专用要求</w:t>
            </w:r>
          </w:p>
        </w:tc>
      </w:tr>
      <w:tr w14:paraId="4D22D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377ED3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5864D1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GB/T18268.1-2010</w:t>
            </w:r>
          </w:p>
        </w:tc>
        <w:tc>
          <w:tcPr>
            <w:tcW w:w="5520" w:type="dxa"/>
            <w:vAlign w:val="center"/>
          </w:tcPr>
          <w:p w14:paraId="7F888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测量、控制和实验室用的电设备电磁兼容性要求第1 部分：通用要求</w:t>
            </w:r>
          </w:p>
        </w:tc>
      </w:tr>
      <w:tr w14:paraId="4AC50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323769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32231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GB/T18268.26-2010</w:t>
            </w:r>
          </w:p>
        </w:tc>
        <w:tc>
          <w:tcPr>
            <w:tcW w:w="5520" w:type="dxa"/>
            <w:vAlign w:val="center"/>
          </w:tcPr>
          <w:p w14:paraId="3EF74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测量、控制和实验室用的电设备电磁兼容性要求第26 部分：特殊要求体外诊断（IVD）医疗设备</w:t>
            </w:r>
          </w:p>
        </w:tc>
      </w:tr>
      <w:tr w14:paraId="0CC51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0E8DFA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425" w:leftChars="0" w:hanging="425" w:firstLineChars="0"/>
              <w:jc w:val="center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263C5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YY /T 0466.1-2023</w:t>
            </w:r>
          </w:p>
        </w:tc>
        <w:tc>
          <w:tcPr>
            <w:tcW w:w="5520" w:type="dxa"/>
            <w:vAlign w:val="center"/>
          </w:tcPr>
          <w:p w14:paraId="4D9B46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 xml:space="preserve">医疗器械 用于医疗器械标签、标记和提供信息的符号 第1部分：通用要求 </w:t>
            </w:r>
          </w:p>
        </w:tc>
      </w:tr>
      <w:tr w14:paraId="504E6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5496BF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425" w:leftChars="0" w:hanging="425" w:firstLineChars="0"/>
              <w:jc w:val="center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510C0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YY/T 0654-2017</w:t>
            </w:r>
          </w:p>
        </w:tc>
        <w:tc>
          <w:tcPr>
            <w:tcW w:w="5520" w:type="dxa"/>
            <w:vAlign w:val="center"/>
          </w:tcPr>
          <w:p w14:paraId="07DA8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全自动生化分析仪</w:t>
            </w:r>
          </w:p>
        </w:tc>
      </w:tr>
      <w:tr w14:paraId="0025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2F0C7E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375C4D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 14710-2009</w:t>
            </w:r>
          </w:p>
        </w:tc>
        <w:tc>
          <w:tcPr>
            <w:tcW w:w="5520" w:type="dxa"/>
            <w:vAlign w:val="center"/>
          </w:tcPr>
          <w:p w14:paraId="00825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医用电气环境要求及试验方法</w:t>
            </w:r>
          </w:p>
        </w:tc>
      </w:tr>
      <w:tr w14:paraId="2A833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3CCB9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746DC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 25000.51-2016</w:t>
            </w:r>
          </w:p>
        </w:tc>
        <w:tc>
          <w:tcPr>
            <w:tcW w:w="5520" w:type="dxa"/>
            <w:vAlign w:val="center"/>
          </w:tcPr>
          <w:p w14:paraId="4E14D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系统与软件工程 系统与软件质量要求和评价（SQuaRE） 第51部分：就绪可用软件产品（RUSP）的质量要求和测试细则</w:t>
            </w:r>
          </w:p>
        </w:tc>
      </w:tr>
      <w:tr w14:paraId="0375E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34B9ED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47E0D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YY/T 0664-2020</w:t>
            </w:r>
          </w:p>
        </w:tc>
        <w:tc>
          <w:tcPr>
            <w:tcW w:w="5520" w:type="dxa"/>
            <w:vAlign w:val="center"/>
          </w:tcPr>
          <w:p w14:paraId="71EB3F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医疗器械软件 软件生存周期过程</w:t>
            </w:r>
          </w:p>
        </w:tc>
      </w:tr>
      <w:tr w14:paraId="5165F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51D71A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4FC01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 42062-2022</w:t>
            </w:r>
          </w:p>
        </w:tc>
        <w:tc>
          <w:tcPr>
            <w:tcW w:w="5520" w:type="dxa"/>
            <w:vAlign w:val="center"/>
          </w:tcPr>
          <w:p w14:paraId="33407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医疗器械 风险管理对医疗器械的应用</w:t>
            </w:r>
          </w:p>
        </w:tc>
      </w:tr>
      <w:tr w14:paraId="3A7F4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4A6FBE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43E3D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 29791.3-2013</w:t>
            </w:r>
          </w:p>
        </w:tc>
        <w:tc>
          <w:tcPr>
            <w:tcW w:w="5520" w:type="dxa"/>
            <w:vAlign w:val="center"/>
          </w:tcPr>
          <w:p w14:paraId="4B1DB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体外诊断医疗器械 制造商提供的信息（标示） 第3部分：专业用体外诊断仪器</w:t>
            </w:r>
          </w:p>
        </w:tc>
      </w:tr>
    </w:tbl>
    <w:p w14:paraId="3454E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8" w:firstLineChars="228"/>
        <w:jc w:val="right"/>
        <w:textAlignment w:val="auto"/>
        <w:rPr>
          <w:rFonts w:hint="eastAsia" w:ascii="Times New Roman" w:hAnsi="Times New Roman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/>
          <w:sz w:val="28"/>
          <w:szCs w:val="28"/>
          <w:lang w:val="en-US" w:eastAsia="zh-CN"/>
        </w:rPr>
        <w:t>Xx***机构</w:t>
      </w:r>
    </w:p>
    <w:p w14:paraId="73679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8" w:firstLineChars="228"/>
        <w:jc w:val="center"/>
        <w:textAlignment w:val="auto"/>
        <w:rPr>
          <w:rFonts w:hint="eastAsia" w:ascii="Times New Roman" w:hAnsi="Times New Roman"/>
          <w:sz w:val="28"/>
          <w:szCs w:val="28"/>
          <w:lang w:val="en-US" w:eastAsia="zh-CN"/>
        </w:rPr>
      </w:pPr>
    </w:p>
    <w:sectPr>
      <w:footerReference r:id="rId3" w:type="default"/>
      <w:pgSz w:w="11906" w:h="16838"/>
      <w:pgMar w:top="1417" w:right="1417" w:bottom="1417" w:left="1417" w:header="1134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E5A69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2800350</wp:posOffset>
              </wp:positionH>
              <wp:positionV relativeFrom="paragraph">
                <wp:posOffset>-133350</wp:posOffset>
              </wp:positionV>
              <wp:extent cx="29337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37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602E50">
                          <w:pPr>
                            <w:pStyle w:val="5"/>
                            <w:jc w:val="center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20.5pt;margin-top:-10.5pt;height:144pt;width:23.1pt;mso-position-horizontal-relative:margin;z-index:251659264;mso-width-relative:page;mso-height-relative:page;" filled="f" stroked="f" coordsize="21600,21600" o:gfxdata="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PtKbLDaAAAACwEAAA8AAAAAAAAAAQAgAAAAIgAAAGRycy9kb3du&#10;cmV2LnhtbFBLAQIUABQAAAAIAIdO4kDv3NnNNgIAAGIEAAAOAAAAAAAAAAEAIAAAACk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602E50">
                    <w:pPr>
                      <w:pStyle w:val="5"/>
                      <w:jc w:val="center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147720"/>
    <w:multiLevelType w:val="singleLevel"/>
    <w:tmpl w:val="C11477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xNWQ5ZDM5NGJhOGJiNzViYzk3MTM3ZGE4YWUyNWIifQ=="/>
  </w:docVars>
  <w:rsids>
    <w:rsidRoot w:val="2980056D"/>
    <w:rsid w:val="0AE92377"/>
    <w:rsid w:val="12E00424"/>
    <w:rsid w:val="15847C4D"/>
    <w:rsid w:val="16D73141"/>
    <w:rsid w:val="19B17A41"/>
    <w:rsid w:val="1DF0289F"/>
    <w:rsid w:val="1F205133"/>
    <w:rsid w:val="2261739B"/>
    <w:rsid w:val="22C32593"/>
    <w:rsid w:val="239F090A"/>
    <w:rsid w:val="25DF3D83"/>
    <w:rsid w:val="27CA5F2E"/>
    <w:rsid w:val="2980056D"/>
    <w:rsid w:val="2B732DF5"/>
    <w:rsid w:val="2D4A53CB"/>
    <w:rsid w:val="3D6E56CE"/>
    <w:rsid w:val="3DD95ACD"/>
    <w:rsid w:val="40CB072F"/>
    <w:rsid w:val="46D279E6"/>
    <w:rsid w:val="4778749A"/>
    <w:rsid w:val="4E524648"/>
    <w:rsid w:val="4FDC241B"/>
    <w:rsid w:val="525D6D05"/>
    <w:rsid w:val="52F061DD"/>
    <w:rsid w:val="53E53868"/>
    <w:rsid w:val="570F7705"/>
    <w:rsid w:val="58D5149C"/>
    <w:rsid w:val="59DA32C4"/>
    <w:rsid w:val="5B067945"/>
    <w:rsid w:val="5FEA5B1A"/>
    <w:rsid w:val="602C4A9A"/>
    <w:rsid w:val="6102706E"/>
    <w:rsid w:val="6C1D6DB3"/>
    <w:rsid w:val="6C474C71"/>
    <w:rsid w:val="6E8A3EFB"/>
    <w:rsid w:val="75160541"/>
    <w:rsid w:val="75B5546C"/>
    <w:rsid w:val="76B80988"/>
    <w:rsid w:val="7C680D19"/>
    <w:rsid w:val="7D6C4C9B"/>
    <w:rsid w:val="7DF60DF4"/>
    <w:rsid w:val="7E246996"/>
    <w:rsid w:val="7ECF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autoRedefine/>
    <w:qFormat/>
    <w:uiPriority w:val="0"/>
    <w:pPr>
      <w:keepNext/>
      <w:keepLines/>
      <w:widowControl w:val="0"/>
      <w:spacing w:beforeLines="0" w:beforeAutospacing="0" w:afterLines="0" w:afterAutospacing="0" w:line="240" w:lineRule="auto"/>
      <w:jc w:val="both"/>
      <w:outlineLvl w:val="0"/>
    </w:pPr>
    <w:rPr>
      <w:rFonts w:eastAsia="宋体" w:asciiTheme="minorAscii" w:hAnsiTheme="minorAscii" w:cstheme="minorBidi"/>
      <w:kern w:val="44"/>
      <w:sz w:val="28"/>
      <w:szCs w:val="28"/>
      <w:lang w:val="en-US" w:eastAsia="zh-CN" w:bidi="ar-SA"/>
    </w:rPr>
  </w:style>
  <w:style w:type="paragraph" w:styleId="3">
    <w:name w:val="heading 2"/>
    <w:next w:val="1"/>
    <w:autoRedefine/>
    <w:unhideWhenUsed/>
    <w:qFormat/>
    <w:uiPriority w:val="0"/>
    <w:pPr>
      <w:keepNext/>
      <w:keepLines/>
      <w:widowControl w:val="0"/>
      <w:spacing w:beforeLines="0" w:beforeAutospacing="0" w:afterLines="0" w:afterAutospacing="0" w:line="240" w:lineRule="auto"/>
      <w:ind w:leftChars="100"/>
      <w:jc w:val="both"/>
      <w:outlineLvl w:val="1"/>
    </w:pPr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styleId="4">
    <w:name w:val="heading 3"/>
    <w:next w:val="1"/>
    <w:autoRedefine/>
    <w:unhideWhenUsed/>
    <w:qFormat/>
    <w:uiPriority w:val="0"/>
    <w:pPr>
      <w:keepNext/>
      <w:keepLines/>
      <w:widowControl w:val="0"/>
      <w:spacing w:beforeLines="0" w:beforeAutospacing="0" w:afterLines="0" w:afterAutospacing="0" w:line="240" w:lineRule="auto"/>
      <w:ind w:leftChars="200"/>
      <w:jc w:val="both"/>
      <w:outlineLvl w:val="2"/>
    </w:pPr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477</Words>
  <Characters>679</Characters>
  <Lines>0</Lines>
  <Paragraphs>0</Paragraphs>
  <TotalTime>0</TotalTime>
  <ScaleCrop>false</ScaleCrop>
  <LinksUpToDate>false</LinksUpToDate>
  <CharactersWithSpaces>707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2023-01-28T07:36:00Z</dcterms:created>
  <dc:creator>zhengyan</dc:creator>
  <cp:lastModifiedBy>chenxiamin</cp:lastModifiedBy>
  <dcterms:modified xsi:type="dcterms:W3CDTF">2026-08-25T05:19:15Z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2052-12.1.0.28032</vt:lpwstr>
  </property>
  <property fmtid="{D5CDD505-2E9C-101B-9397-08002B2CF9AE}" pid="3" name="ICV">
    <vt:lpwstr>E5F14AB3D5B74D47BB40E1EE5B7A4AAD</vt:lpwstr>
  </property>
  <property fmtid="{D5CDD505-2E9C-101B-9397-08002B2CF9AE}" pid="4" name="KSOTemplateDocerSaveRecord">
    <vt:lpwstr>eyJoZGlkIjoiYmVhNDAxMjZkNjU0NTdhMDJjZjIwNjMwMWVmMTllMTQifQ==</vt:lpwstr>
  </property>
</Properties>
</file>