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00308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11.7符合性声明</w:t>
      </w:r>
    </w:p>
    <w:p w14:paraId="3DBA808F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本公司声明：全自动精浆生化分析仪产品注册申请第二类医疗器械注册。</w:t>
      </w:r>
    </w:p>
    <w:p w14:paraId="66C9F540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申报产品符合《医疗器械注册与备案管理办法》和相关法规的要求。 </w:t>
      </w:r>
    </w:p>
    <w:p w14:paraId="0D28CC64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申报产品符合《医疗器械分类规则》有关分类的要求。</w:t>
      </w:r>
    </w:p>
    <w:p w14:paraId="75F3D7F5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申报产品符合现行国家标准、行业标准。符合标准清单如下：</w:t>
      </w:r>
    </w:p>
    <w:tbl>
      <w:tblPr>
        <w:tblStyle w:val="8"/>
        <w:tblW w:w="9310" w:type="dxa"/>
        <w:tblInd w:w="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"/>
        <w:gridCol w:w="2805"/>
        <w:gridCol w:w="5936"/>
      </w:tblGrid>
      <w:tr w14:paraId="2BA7F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050D71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2FFC6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191-2008</w:t>
            </w:r>
          </w:p>
        </w:tc>
        <w:tc>
          <w:tcPr>
            <w:tcW w:w="5936" w:type="dxa"/>
            <w:vAlign w:val="center"/>
          </w:tcPr>
          <w:p w14:paraId="2399A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包装储运图示标志</w:t>
            </w:r>
          </w:p>
        </w:tc>
      </w:tr>
      <w:tr w14:paraId="02B1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7791CD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4AC3B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 4793-2024</w:t>
            </w:r>
          </w:p>
        </w:tc>
        <w:tc>
          <w:tcPr>
            <w:tcW w:w="5936" w:type="dxa"/>
            <w:vAlign w:val="center"/>
          </w:tcPr>
          <w:p w14:paraId="37CDA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测量、控制和实验室用电气设备安全技术规范</w:t>
            </w:r>
          </w:p>
        </w:tc>
      </w:tr>
      <w:tr w14:paraId="5263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025B1B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1E3BA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42125.1-2024</w:t>
            </w:r>
          </w:p>
        </w:tc>
        <w:tc>
          <w:tcPr>
            <w:tcW w:w="5936" w:type="dxa"/>
            <w:vAlign w:val="center"/>
          </w:tcPr>
          <w:p w14:paraId="27BC2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测量、控制和实验室用电气设备的安全要求 第1部分：通用要求</w:t>
            </w:r>
          </w:p>
        </w:tc>
      </w:tr>
      <w:tr w14:paraId="29B2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71BD65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28C36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GB/T42125.2-2024</w:t>
            </w:r>
          </w:p>
        </w:tc>
        <w:tc>
          <w:tcPr>
            <w:tcW w:w="5936" w:type="dxa"/>
            <w:vAlign w:val="center"/>
          </w:tcPr>
          <w:p w14:paraId="166FD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测量、控制和实验室用电气设备的安全要求 第 2 部分：材料加热用实验室设备的特殊要求</w:t>
            </w:r>
          </w:p>
        </w:tc>
      </w:tr>
      <w:tr w14:paraId="36B7C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0DF388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2565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 0648-2008</w:t>
            </w:r>
          </w:p>
        </w:tc>
        <w:tc>
          <w:tcPr>
            <w:tcW w:w="5936" w:type="dxa"/>
            <w:vAlign w:val="center"/>
          </w:tcPr>
          <w:p w14:paraId="3C791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测量、控制和实验室用电气设备的安全要求第2-101部分：体外诊断(IVD)医用设备的专用要求</w:t>
            </w:r>
          </w:p>
        </w:tc>
      </w:tr>
      <w:tr w14:paraId="6B3F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247FF2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795E3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GB/T18268.1-2010</w:t>
            </w:r>
          </w:p>
        </w:tc>
        <w:tc>
          <w:tcPr>
            <w:tcW w:w="5936" w:type="dxa"/>
            <w:vAlign w:val="center"/>
          </w:tcPr>
          <w:p w14:paraId="1FE28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测量、控制和实验室用的电设备电磁兼容性要求第1 部分：通用要求</w:t>
            </w:r>
          </w:p>
        </w:tc>
      </w:tr>
      <w:tr w14:paraId="1F33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2F602F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6F8F6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GB/T18268.26-2010</w:t>
            </w:r>
          </w:p>
        </w:tc>
        <w:tc>
          <w:tcPr>
            <w:tcW w:w="5936" w:type="dxa"/>
            <w:vAlign w:val="center"/>
          </w:tcPr>
          <w:p w14:paraId="69357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测量、控制和实验室用的电设备电磁兼容性要求第26 部分：特殊要求体外诊断（IVD）医疗设备</w:t>
            </w:r>
          </w:p>
        </w:tc>
      </w:tr>
      <w:tr w14:paraId="17CA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1BE284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3F710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 /T 0466.1-2023</w:t>
            </w:r>
          </w:p>
        </w:tc>
        <w:tc>
          <w:tcPr>
            <w:tcW w:w="5936" w:type="dxa"/>
            <w:vAlign w:val="center"/>
          </w:tcPr>
          <w:p w14:paraId="11D08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 xml:space="preserve">医疗器械 用于医疗器械标签、标记和提供信息的符号 第1部分：通用要求 </w:t>
            </w:r>
          </w:p>
        </w:tc>
      </w:tr>
      <w:tr w14:paraId="0092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257CEB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05548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YY/T 0654-2017</w:t>
            </w:r>
          </w:p>
        </w:tc>
        <w:tc>
          <w:tcPr>
            <w:tcW w:w="5936" w:type="dxa"/>
            <w:vAlign w:val="center"/>
          </w:tcPr>
          <w:p w14:paraId="698A9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全自动生化分析仪</w:t>
            </w:r>
          </w:p>
        </w:tc>
      </w:tr>
      <w:tr w14:paraId="7140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481E8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24770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14710-2009</w:t>
            </w:r>
          </w:p>
        </w:tc>
        <w:tc>
          <w:tcPr>
            <w:tcW w:w="5936" w:type="dxa"/>
            <w:vAlign w:val="center"/>
          </w:tcPr>
          <w:p w14:paraId="1F8C9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医用电气环境要求及试验方法</w:t>
            </w:r>
          </w:p>
        </w:tc>
      </w:tr>
      <w:tr w14:paraId="33CD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759487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16888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25000.51-2016</w:t>
            </w:r>
          </w:p>
        </w:tc>
        <w:tc>
          <w:tcPr>
            <w:tcW w:w="5936" w:type="dxa"/>
            <w:vAlign w:val="center"/>
          </w:tcPr>
          <w:p w14:paraId="30BCD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系统与软件工程 系统与软件质量要求和评价（SQuaRE） 第51部分：就绪可用软件产品（RUSP）的质量要求和测试细则</w:t>
            </w:r>
          </w:p>
        </w:tc>
      </w:tr>
      <w:tr w14:paraId="1CA3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74C343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1ADA9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YY/T 0664-2020</w:t>
            </w:r>
          </w:p>
        </w:tc>
        <w:tc>
          <w:tcPr>
            <w:tcW w:w="5936" w:type="dxa"/>
            <w:vAlign w:val="center"/>
          </w:tcPr>
          <w:p w14:paraId="09821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医疗器械软件 软件生存周期过程</w:t>
            </w:r>
          </w:p>
        </w:tc>
      </w:tr>
      <w:tr w14:paraId="1624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57469B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7F5C8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42062-2022</w:t>
            </w:r>
          </w:p>
        </w:tc>
        <w:tc>
          <w:tcPr>
            <w:tcW w:w="5936" w:type="dxa"/>
            <w:vAlign w:val="center"/>
          </w:tcPr>
          <w:p w14:paraId="768F4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医疗器械 风险管理对医疗器械的应用</w:t>
            </w:r>
          </w:p>
        </w:tc>
      </w:tr>
      <w:tr w14:paraId="4B6A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9" w:type="dxa"/>
            <w:vAlign w:val="center"/>
          </w:tcPr>
          <w:p w14:paraId="5E8B9C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425" w:leftChars="0" w:hanging="425" w:firstLineChars="0"/>
              <w:jc w:val="center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805" w:type="dxa"/>
            <w:vAlign w:val="center"/>
          </w:tcPr>
          <w:p w14:paraId="39D79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GB/T 29791.3-2013</w:t>
            </w:r>
          </w:p>
        </w:tc>
        <w:tc>
          <w:tcPr>
            <w:tcW w:w="5936" w:type="dxa"/>
            <w:vAlign w:val="center"/>
          </w:tcPr>
          <w:p w14:paraId="3BEDD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vertAlign w:val="baseline"/>
                <w:lang w:val="en-US" w:eastAsia="zh-CN"/>
              </w:rPr>
              <w:t>体外诊断医疗器械 制造商提供的信息（标示） 第3部分：专业用体外诊断仪器</w:t>
            </w:r>
          </w:p>
        </w:tc>
      </w:tr>
    </w:tbl>
    <w:p w14:paraId="13585FF3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我公司保证以上提交的资料内容真实、有效，并对申请资料实质内容的真实性负责。</w:t>
      </w:r>
    </w:p>
    <w:p w14:paraId="50AA2DF2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eastAsia" w:ascii="Times New Roman" w:hAnsi="Times New Roman"/>
          <w:sz w:val="28"/>
          <w:szCs w:val="28"/>
          <w:lang w:val="en-US" w:eastAsia="zh-CN"/>
        </w:rPr>
      </w:pPr>
    </w:p>
    <w:p w14:paraId="3454E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jc w:val="right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Xx***机构</w:t>
      </w:r>
      <w:bookmarkStart w:id="0" w:name="_GoBack"/>
      <w:bookmarkEnd w:id="0"/>
    </w:p>
    <w:p w14:paraId="121B5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jc w:val="right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701" w:right="1417" w:bottom="1701" w:left="1417" w:header="1134" w:footer="113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AFFB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2771775</wp:posOffset>
              </wp:positionH>
              <wp:positionV relativeFrom="paragraph">
                <wp:posOffset>-133350</wp:posOffset>
              </wp:positionV>
              <wp:extent cx="331470" cy="17399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1470" cy="1739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83235E">
                          <w:pPr>
                            <w:pStyle w:val="5"/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8.25pt;margin-top:-10.5pt;height:13.7pt;width:26.1pt;mso-position-horizontal-relative:margin;z-index:251659264;mso-width-relative:page;mso-height-relative:page;" filled="f" stroked="f" coordsize="21600,21600" o:gfxdata="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uoDPvYAAAACQEAAA8AAAAAAAAAAQAgAAAAIgAAAGRycy9kb3ducmV2&#10;LnhtbFBLAQIUABQAAAAIAIdO4kDQi7gvNQIAAGEEAAAOAAAAAAAAAAEAIAAAACc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083235E">
                    <w:pPr>
                      <w:pStyle w:val="5"/>
                      <w:jc w:val="center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54D35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5F9F0"/>
    <w:multiLevelType w:val="singleLevel"/>
    <w:tmpl w:val="A1E5F9F0"/>
    <w:lvl w:ilvl="0" w:tentative="0">
      <w:start w:val="1"/>
      <w:numFmt w:val="decimal"/>
      <w:suff w:val="nothing"/>
      <w:lvlText w:val="%1、"/>
      <w:lvlJc w:val="left"/>
      <w:rPr>
        <w:rFonts w:hint="default"/>
        <w:sz w:val="28"/>
        <w:szCs w:val="28"/>
      </w:rPr>
    </w:lvl>
  </w:abstractNum>
  <w:abstractNum w:abstractNumId="1">
    <w:nsid w:val="C1147720"/>
    <w:multiLevelType w:val="singleLevel"/>
    <w:tmpl w:val="C11477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152113C"/>
    <w:rsid w:val="08A435EA"/>
    <w:rsid w:val="12E00424"/>
    <w:rsid w:val="16D73141"/>
    <w:rsid w:val="19B17A41"/>
    <w:rsid w:val="2261739B"/>
    <w:rsid w:val="22C32593"/>
    <w:rsid w:val="230A17A4"/>
    <w:rsid w:val="239F090A"/>
    <w:rsid w:val="27CA5F2E"/>
    <w:rsid w:val="2980056D"/>
    <w:rsid w:val="2D237D26"/>
    <w:rsid w:val="2D4A53CB"/>
    <w:rsid w:val="3D6E56CE"/>
    <w:rsid w:val="3DD95ACD"/>
    <w:rsid w:val="46D279E6"/>
    <w:rsid w:val="4E524648"/>
    <w:rsid w:val="4FDC241B"/>
    <w:rsid w:val="51E80236"/>
    <w:rsid w:val="525D6D05"/>
    <w:rsid w:val="52F061DD"/>
    <w:rsid w:val="53E53868"/>
    <w:rsid w:val="570F7705"/>
    <w:rsid w:val="57BC29A3"/>
    <w:rsid w:val="59DA32C4"/>
    <w:rsid w:val="6102706E"/>
    <w:rsid w:val="6C474C71"/>
    <w:rsid w:val="6E8A3EFB"/>
    <w:rsid w:val="6F000957"/>
    <w:rsid w:val="75160541"/>
    <w:rsid w:val="76B80988"/>
    <w:rsid w:val="7D6C4C9B"/>
    <w:rsid w:val="7DF60DF4"/>
    <w:rsid w:val="7E246996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widowControl w:val="0"/>
      <w:spacing w:beforeLines="0" w:beforeAutospacing="0" w:afterLines="0" w:afterAutospacing="0" w:line="240" w:lineRule="auto"/>
      <w:jc w:val="both"/>
      <w:outlineLvl w:val="0"/>
    </w:pPr>
    <w:rPr>
      <w:rFonts w:eastAsia="宋体" w:asciiTheme="minorAscii" w:hAnsiTheme="minorAscii" w:cstheme="minorBidi"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keepNext/>
      <w:keepLines/>
      <w:widowControl w:val="0"/>
      <w:spacing w:beforeLines="0" w:beforeAutospacing="0" w:afterLines="0" w:afterAutospacing="0" w:line="240" w:lineRule="auto"/>
      <w:ind w:leftChars="100"/>
      <w:jc w:val="both"/>
      <w:outlineLvl w:val="1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spacing w:beforeLines="0" w:beforeAutospacing="0" w:afterLines="0" w:afterAutospacing="0" w:line="240" w:lineRule="auto"/>
      <w:ind w:leftChars="200"/>
      <w:jc w:val="both"/>
      <w:outlineLvl w:val="2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565</Words>
  <Characters>767</Characters>
  <Lines>0</Lines>
  <Paragraphs>0</Paragraphs>
  <TotalTime>0</TotalTime>
  <ScaleCrop>false</ScaleCrop>
  <LinksUpToDate>false</LinksUpToDate>
  <CharactersWithSpaces>795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chenxiamin</cp:lastModifiedBy>
  <dcterms:modified xsi:type="dcterms:W3CDTF">2026-08-25T05:20:14Z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E5F14AB3D5B74D47BB40E1EE5B7A4AAD</vt:lpwstr>
  </property>
  <property fmtid="{D5CDD505-2E9C-101B-9397-08002B2CF9AE}" pid="4" name="KSOTemplateDocerSaveRecord">
    <vt:lpwstr>eyJoZGlkIjoiYmVhNDAxMjZkNjU0NTdhMDJjZjIwNjMwMWVmMTllMTQifQ==</vt:lpwstr>
  </property>
</Properties>
</file>