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CBAA5">
      <w:pPr>
        <w:keepNext w:val="0"/>
        <w:keepLines w:val="0"/>
        <w:pageBreakBefore w:val="0"/>
        <w:widowControl w:val="0"/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highlight w:val="none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CH3.5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.1物理和机械性能研究</w:t>
      </w:r>
    </w:p>
    <w:p w14:paraId="0A3876CF">
      <w:pPr>
        <w:pStyle w:val="2"/>
        <w:numPr>
          <w:ilvl w:val="0"/>
          <w:numId w:val="2"/>
        </w:numPr>
        <w:bidi w:val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综述</w:t>
      </w:r>
    </w:p>
    <w:p w14:paraId="00F5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本申***机构《</w:t>
      </w:r>
      <w:r>
        <w:rPr>
          <w:rFonts w:hint="eastAsia"/>
          <w:sz w:val="28"/>
          <w:szCs w:val="28"/>
          <w:lang w:eastAsia="zh-CN"/>
        </w:rPr>
        <w:t>设计和开发控制程序</w:t>
      </w:r>
      <w:r>
        <w:rPr>
          <w:rFonts w:hint="eastAsia"/>
          <w:sz w:val="28"/>
          <w:szCs w:val="28"/>
        </w:rPr>
        <w:t>》的规定，按照《北昂技术管理规范》设计开发5个阶段的要求，前期立项阶段做好市场调研、可行性分析、风险分析、设计开发计划，明确设计开发的输入；开发、试样阶段做好设计开发过程评审，并进行设计文件和产品的验证和确认。</w:t>
      </w:r>
      <w:r>
        <w:rPr>
          <w:rFonts w:hint="eastAsia"/>
          <w:sz w:val="28"/>
          <w:szCs w:val="28"/>
          <w:lang w:eastAsia="zh-CN"/>
        </w:rPr>
        <w:t>试产</w:t>
      </w:r>
      <w:r>
        <w:rPr>
          <w:rFonts w:hint="eastAsia"/>
          <w:sz w:val="28"/>
          <w:szCs w:val="28"/>
        </w:rPr>
        <w:t>样机依据</w:t>
      </w:r>
      <w:r>
        <w:rPr>
          <w:rFonts w:hint="eastAsia"/>
          <w:sz w:val="28"/>
          <w:szCs w:val="28"/>
          <w:lang w:eastAsia="zh-CN"/>
        </w:rPr>
        <w:t>产品技术要求</w:t>
      </w:r>
      <w:r>
        <w:rPr>
          <w:rFonts w:hint="eastAsia"/>
          <w:sz w:val="28"/>
          <w:szCs w:val="28"/>
        </w:rPr>
        <w:t>的规定，通过了</w:t>
      </w:r>
      <w:r>
        <w:rPr>
          <w:rFonts w:hint="eastAsia"/>
          <w:sz w:val="28"/>
          <w:szCs w:val="28"/>
          <w:lang w:eastAsia="zh-CN"/>
        </w:rPr>
        <w:t>深圳***机构</w:t>
      </w:r>
      <w:r>
        <w:rPr>
          <w:rFonts w:hint="eastAsia"/>
          <w:sz w:val="28"/>
          <w:szCs w:val="28"/>
        </w:rPr>
        <w:t>的产品注册检验，验证了产品的安全有效性。</w:t>
      </w:r>
    </w:p>
    <w:p w14:paraId="7C09CA19">
      <w:pPr>
        <w:ind w:firstLine="560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申报产品的型号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A、T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两个型号产品仅外观颜色不同，因此，可以说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A、T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全自动精浆生化分析仪</w:t>
      </w:r>
      <w:r>
        <w:rPr>
          <w:rFonts w:hint="eastAsia"/>
          <w:sz w:val="28"/>
          <w:szCs w:val="28"/>
        </w:rPr>
        <w:t>符合产品技术要求。</w:t>
      </w:r>
    </w:p>
    <w:p w14:paraId="7510C17A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性能指标的确定</w:t>
      </w:r>
    </w:p>
    <w:p w14:paraId="7BC8AC0F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0" w:firstLineChars="2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全自动精浆生化</w:t>
      </w:r>
      <w:r>
        <w:rPr>
          <w:rFonts w:hint="eastAsia"/>
          <w:sz w:val="28"/>
          <w:szCs w:val="28"/>
        </w:rPr>
        <w:t>分析仪主要功能、性能指标要求及验证方法的确定依据：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YY/T0654-2017 </w:t>
      </w:r>
      <w:r>
        <w:rPr>
          <w:rFonts w:hint="eastAsia"/>
          <w:sz w:val="28"/>
          <w:szCs w:val="28"/>
          <w:lang w:val="en-US" w:eastAsia="zh-CN"/>
        </w:rPr>
        <w:t>全自动生化分析仪</w:t>
      </w:r>
    </w:p>
    <w:p w14:paraId="05787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0" w:firstLineChars="200"/>
        <w:rPr>
          <w:rFonts w:asciiTheme="minorHAnsi" w:hAnsiTheme="minorHAnsi" w:eastAsiaTheme="minorEastAsia"/>
          <w:iCs w:val="0"/>
          <w:kern w:val="2"/>
          <w:sz w:val="28"/>
          <w:szCs w:val="28"/>
        </w:rPr>
      </w:pPr>
      <w:r>
        <w:rPr>
          <w:rFonts w:hint="eastAsia"/>
          <w:sz w:val="28"/>
          <w:szCs w:val="28"/>
        </w:rPr>
        <w:t>下表为本申报产品技术要求引用标准对照表。</w:t>
      </w:r>
    </w:p>
    <w:tbl>
      <w:tblPr>
        <w:tblStyle w:val="17"/>
        <w:tblW w:w="89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2310"/>
        <w:gridCol w:w="1830"/>
        <w:gridCol w:w="1560"/>
        <w:gridCol w:w="1005"/>
        <w:gridCol w:w="1695"/>
      </w:tblGrid>
      <w:tr w14:paraId="7E3ED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6A6A8D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2310" w:type="dxa"/>
          </w:tcPr>
          <w:p w14:paraId="619A8B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inorHAnsi" w:hAnsiTheme="minorHAnsi" w:eastAsiaTheme="minorEastAsia" w:cstheme="minorBidi"/>
                <w:iCs w:val="0"/>
                <w:kern w:val="2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技术要求中的条款号、条款名称</w:t>
            </w:r>
          </w:p>
        </w:tc>
        <w:tc>
          <w:tcPr>
            <w:tcW w:w="1830" w:type="dxa"/>
          </w:tcPr>
          <w:p w14:paraId="23C078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inorHAnsi" w:hAnsiTheme="minorHAnsi" w:eastAsiaTheme="minorEastAsia" w:cstheme="minorBidi"/>
                <w:iCs w:val="0"/>
                <w:kern w:val="2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对应的国家行业标准、指导原则</w:t>
            </w:r>
          </w:p>
        </w:tc>
        <w:tc>
          <w:tcPr>
            <w:tcW w:w="1560" w:type="dxa"/>
          </w:tcPr>
          <w:p w14:paraId="0AA3F2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inorHAnsi" w:hAnsiTheme="minorHAnsi" w:eastAsiaTheme="minorEastAsia" w:cstheme="minorBidi"/>
                <w:iCs w:val="0"/>
                <w:kern w:val="2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对应的国家行业标准条款</w:t>
            </w:r>
          </w:p>
        </w:tc>
        <w:tc>
          <w:tcPr>
            <w:tcW w:w="1005" w:type="dxa"/>
          </w:tcPr>
          <w:p w14:paraId="544127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差异说明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52ACB1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inorHAnsi" w:hAnsiTheme="minorHAnsi" w:eastAsiaTheme="minorEastAsia" w:cstheme="minorBidi"/>
                <w:iCs w:val="0"/>
                <w:kern w:val="2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未引用条款说明（如有）</w:t>
            </w:r>
          </w:p>
        </w:tc>
      </w:tr>
      <w:tr w14:paraId="77974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4BA67393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0" w:type="dxa"/>
            <w:tcBorders>
              <w:bottom w:val="single" w:color="auto" w:sz="4" w:space="0"/>
            </w:tcBorders>
            <w:vAlign w:val="center"/>
          </w:tcPr>
          <w:p w14:paraId="6C4193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  <w:t>2.1 杂散光</w:t>
            </w:r>
          </w:p>
        </w:tc>
        <w:tc>
          <w:tcPr>
            <w:tcW w:w="1830" w:type="dxa"/>
            <w:tcBorders>
              <w:bottom w:val="single" w:color="auto" w:sz="4" w:space="0"/>
            </w:tcBorders>
          </w:tcPr>
          <w:p w14:paraId="2D6CD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default" w:ascii="Times New Roman" w:hAnsi="Times New Roman" w:cs="Times New Roman" w:eastAsiaTheme="minorEastAsia"/>
                <w:iCs w:val="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413529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iCs w:val="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5.2</w:t>
            </w:r>
          </w:p>
        </w:tc>
        <w:tc>
          <w:tcPr>
            <w:tcW w:w="1005" w:type="dxa"/>
            <w:vAlign w:val="center"/>
          </w:tcPr>
          <w:p w14:paraId="380EEB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5FCB01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14:paraId="3CC73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21AD7E1D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color="auto" w:sz="4" w:space="0"/>
            </w:tcBorders>
            <w:vAlign w:val="center"/>
          </w:tcPr>
          <w:p w14:paraId="08E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  <w:t>2.2 吸光度线性范围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0757CB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579A95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5.3</w:t>
            </w:r>
          </w:p>
        </w:tc>
        <w:tc>
          <w:tcPr>
            <w:tcW w:w="1005" w:type="dxa"/>
            <w:vAlign w:val="center"/>
          </w:tcPr>
          <w:p w14:paraId="3BFB0A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038A10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14:paraId="13DBA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59CDAEC8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10" w:type="dxa"/>
            <w:tcBorders>
              <w:top w:val="single" w:color="auto" w:sz="4" w:space="0"/>
            </w:tcBorders>
            <w:vAlign w:val="center"/>
          </w:tcPr>
          <w:p w14:paraId="0493A3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  <w:t>2.3 吸光度准确度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717B7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52274A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5.4</w:t>
            </w:r>
          </w:p>
        </w:tc>
        <w:tc>
          <w:tcPr>
            <w:tcW w:w="1005" w:type="dxa"/>
            <w:vAlign w:val="center"/>
          </w:tcPr>
          <w:p w14:paraId="0C57F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285EBF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14:paraId="5D009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1DF727CF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6AF333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  <w:t>2.4 吸光度的稳定性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AEF209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409FA9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5.5</w:t>
            </w:r>
          </w:p>
        </w:tc>
        <w:tc>
          <w:tcPr>
            <w:tcW w:w="1005" w:type="dxa"/>
            <w:vAlign w:val="center"/>
          </w:tcPr>
          <w:p w14:paraId="01B7671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13DCA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14:paraId="536D7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3B083BEF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76A2DE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</w:rPr>
              <w:t>2.5 吸光度的重复性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EFD3EF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50DB54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5.6</w:t>
            </w:r>
          </w:p>
        </w:tc>
        <w:tc>
          <w:tcPr>
            <w:tcW w:w="1005" w:type="dxa"/>
            <w:vAlign w:val="center"/>
          </w:tcPr>
          <w:p w14:paraId="5E1AD0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337620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14:paraId="36C9C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0BCF24D6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350DC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asciiTheme="minorHAnsi" w:hAnsiTheme="minorHAnsi" w:eastAsiaTheme="minorEastAsia" w:cstheme="minorBidi"/>
                <w:iCs w:val="0"/>
                <w:kern w:val="2"/>
                <w:sz w:val="22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kern w:val="2"/>
                <w:sz w:val="22"/>
                <w:szCs w:val="22"/>
              </w:rPr>
              <w:t>2.6 温度准确度与波动度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B35309"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69DC59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5.7</w:t>
            </w:r>
          </w:p>
        </w:tc>
        <w:tc>
          <w:tcPr>
            <w:tcW w:w="1005" w:type="dxa"/>
            <w:vAlign w:val="center"/>
          </w:tcPr>
          <w:p w14:paraId="32C8C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453AEC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14:paraId="117AF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0E36714C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76098E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A7F878">
            <w:pPr>
              <w:spacing w:line="240" w:lineRule="auto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571B6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eastAsia="宋体" w:cs="Times New Roman"/>
                <w:iCs w:val="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Cs w:val="0"/>
                <w:kern w:val="2"/>
                <w:sz w:val="21"/>
                <w:szCs w:val="21"/>
                <w:lang w:val="en-US" w:eastAsia="zh-CN"/>
              </w:rPr>
              <w:t>5.8</w:t>
            </w:r>
          </w:p>
        </w:tc>
        <w:tc>
          <w:tcPr>
            <w:tcW w:w="1005" w:type="dxa"/>
            <w:vAlign w:val="center"/>
          </w:tcPr>
          <w:p w14:paraId="3E200E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val="en-US" w:eastAsia="zh-CN"/>
              </w:rPr>
              <w:t>未引用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274432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申报产品单人份检测每个项目用单独加样</w:t>
            </w:r>
          </w:p>
        </w:tc>
      </w:tr>
      <w:tr w14:paraId="3781F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7FB32EA3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7EC93E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2.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加样准确度与重复性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3739B3">
            <w:pPr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54F331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5.9</w:t>
            </w:r>
          </w:p>
        </w:tc>
        <w:tc>
          <w:tcPr>
            <w:tcW w:w="1005" w:type="dxa"/>
            <w:vAlign w:val="center"/>
          </w:tcPr>
          <w:p w14:paraId="7F6103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66FADA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50BC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3" w:type="dxa"/>
          </w:tcPr>
          <w:p w14:paraId="4C664D18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222BBD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2.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临床项目的批内精密度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C7FC0B">
            <w:pPr>
              <w:spacing w:line="240" w:lineRule="auto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4E03CC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eastAsia="宋体" w:cs="Times New Roman"/>
                <w:iCs w:val="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Cs w:val="0"/>
                <w:kern w:val="2"/>
                <w:sz w:val="21"/>
                <w:szCs w:val="21"/>
                <w:lang w:val="en-US" w:eastAsia="zh-CN"/>
              </w:rPr>
              <w:t>5.10</w:t>
            </w:r>
          </w:p>
        </w:tc>
        <w:tc>
          <w:tcPr>
            <w:tcW w:w="1005" w:type="dxa"/>
            <w:vAlign w:val="center"/>
          </w:tcPr>
          <w:p w14:paraId="6C0FBC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695896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1D3A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6BFC4405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0EC053C7">
            <w:pPr>
              <w:pStyle w:val="24"/>
              <w:spacing w:line="240" w:lineRule="auto"/>
              <w:ind w:firstLine="0" w:firstLineChars="0"/>
              <w:jc w:val="both"/>
              <w:outlineLvl w:val="1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外观要求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25CD00">
            <w:pPr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5F8303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5.11</w:t>
            </w:r>
          </w:p>
        </w:tc>
        <w:tc>
          <w:tcPr>
            <w:tcW w:w="1005" w:type="dxa"/>
            <w:vAlign w:val="center"/>
          </w:tcPr>
          <w:p w14:paraId="3B4007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cstheme="minorBidi"/>
                <w:iCs w:val="0"/>
                <w:kern w:val="2"/>
                <w:sz w:val="22"/>
                <w:szCs w:val="22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6CB1E7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BAB9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45C3BCB0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4EE94B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安全要求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23B5C0">
            <w:pPr>
              <w:spacing w:line="240" w:lineRule="auto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7271E3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eastAsia="宋体" w:cs="Times New Roman"/>
                <w:iCs w:val="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Cs w:val="0"/>
                <w:kern w:val="2"/>
                <w:sz w:val="21"/>
                <w:szCs w:val="21"/>
                <w:lang w:val="en-US" w:eastAsia="zh-CN"/>
              </w:rPr>
              <w:t>5.13</w:t>
            </w:r>
          </w:p>
        </w:tc>
        <w:tc>
          <w:tcPr>
            <w:tcW w:w="1005" w:type="dxa"/>
            <w:vAlign w:val="center"/>
          </w:tcPr>
          <w:p w14:paraId="6D44B1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eastAsia="zh-CN"/>
              </w:rPr>
              <w:t>采用新标准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3F4F40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EE01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vAlign w:val="center"/>
          </w:tcPr>
          <w:p w14:paraId="72D8EA9F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719DB2BA">
            <w:pPr>
              <w:spacing w:line="240" w:lineRule="auto"/>
              <w:ind w:firstLine="0" w:firstLineChars="0"/>
              <w:jc w:val="both"/>
              <w:outlineLvl w:val="1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电磁兼容要求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069758">
            <w:pPr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vAlign w:val="center"/>
          </w:tcPr>
          <w:p w14:paraId="10F0CB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5.14</w:t>
            </w:r>
          </w:p>
        </w:tc>
        <w:tc>
          <w:tcPr>
            <w:tcW w:w="1005" w:type="dxa"/>
            <w:vAlign w:val="center"/>
          </w:tcPr>
          <w:p w14:paraId="555A7A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一致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10C22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37E1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513" w:type="dxa"/>
          </w:tcPr>
          <w:p w14:paraId="42934C26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15931F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2AE6B4FE">
            <w:pPr>
              <w:spacing w:line="240" w:lineRule="auto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Cs w:val="0"/>
                <w:kern w:val="2"/>
                <w:sz w:val="21"/>
                <w:szCs w:val="21"/>
                <w:lang w:val="en-US" w:eastAsia="zh-CN"/>
              </w:rPr>
              <w:t>YY/T0654-2017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1CE69E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5.12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环境试验要求</w:t>
            </w:r>
          </w:p>
        </w:tc>
        <w:tc>
          <w:tcPr>
            <w:tcW w:w="1005" w:type="dxa"/>
            <w:shd w:val="clear" w:color="auto" w:fill="auto"/>
            <w:vAlign w:val="top"/>
          </w:tcPr>
          <w:p w14:paraId="2152DD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未引用</w:t>
            </w:r>
          </w:p>
        </w:tc>
        <w:tc>
          <w:tcPr>
            <w:tcW w:w="1695" w:type="dxa"/>
            <w:tcBorders>
              <w:right w:val="single" w:color="auto" w:sz="4" w:space="0"/>
            </w:tcBorders>
          </w:tcPr>
          <w:p w14:paraId="39AE47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医疗器械产品技术要求编写指导原则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的要求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不建议在技术要求性能指标中研究性及评价性内容</w:t>
            </w:r>
          </w:p>
        </w:tc>
      </w:tr>
      <w:tr w14:paraId="6B8DA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0C250B93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300870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  <w:t>2</w:t>
            </w:r>
            <w:r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</w:rPr>
              <w:t>.1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  <w:t>网络安全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</w:tcPr>
          <w:p w14:paraId="59EF4E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560" w:type="dxa"/>
          </w:tcPr>
          <w:p w14:paraId="29E549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Theme="minorHAnsi" w:hAnsiTheme="minorHAnsi" w:eastAsiaTheme="minorEastAsia" w:cstheme="minorBidi"/>
                <w:iCs w:val="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theme="minorBidi"/>
                <w:iCs w:val="0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005" w:type="dxa"/>
            <w:vMerge w:val="restart"/>
          </w:tcPr>
          <w:p w14:paraId="5581A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Theme="minorHAnsi" w:hAnsiTheme="minorHAnsi" w:eastAsiaTheme="minorEastAsia" w:cstheme="minorBidi"/>
                <w:iCs w:val="0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cstheme="minorBidi"/>
                <w:iCs w:val="0"/>
                <w:kern w:val="2"/>
                <w:sz w:val="21"/>
                <w:szCs w:val="21"/>
                <w:lang w:eastAsia="zh-CN"/>
              </w:rPr>
              <w:t>增加要求</w:t>
            </w:r>
          </w:p>
        </w:tc>
        <w:tc>
          <w:tcPr>
            <w:tcW w:w="1695" w:type="dxa"/>
            <w:vMerge w:val="restart"/>
            <w:tcBorders>
              <w:right w:val="single" w:color="auto" w:sz="4" w:space="0"/>
            </w:tcBorders>
          </w:tcPr>
          <w:p w14:paraId="64473E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按照医疗器械软件注册审查指导原则（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2022年修订版</w:t>
            </w:r>
            <w:r>
              <w:rPr>
                <w:rFonts w:hint="eastAsia"/>
                <w:sz w:val="21"/>
                <w:szCs w:val="21"/>
                <w:lang w:eastAsia="zh-CN"/>
              </w:rPr>
              <w:t>）的要求</w:t>
            </w:r>
          </w:p>
        </w:tc>
      </w:tr>
      <w:tr w14:paraId="169C0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52586A1E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2B3A54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  <w:t>2.1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/>
              </w:rPr>
              <w:t>3 软件功能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</w:tcPr>
          <w:p w14:paraId="73D304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560" w:type="dxa"/>
          </w:tcPr>
          <w:p w14:paraId="01075E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005" w:type="dxa"/>
            <w:vMerge w:val="continue"/>
          </w:tcPr>
          <w:p w14:paraId="3157EB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695" w:type="dxa"/>
            <w:vMerge w:val="continue"/>
            <w:tcBorders>
              <w:right w:val="single" w:color="auto" w:sz="4" w:space="0"/>
            </w:tcBorders>
          </w:tcPr>
          <w:p w14:paraId="39700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14:paraId="3F5FF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423C8BD6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6B0DB6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/>
              </w:rPr>
              <w:t>2.14 使用限制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76042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560" w:type="dxa"/>
            <w:vAlign w:val="top"/>
          </w:tcPr>
          <w:p w14:paraId="64222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theme="minorBidi"/>
                <w:iCs w:val="0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005" w:type="dxa"/>
            <w:vMerge w:val="continue"/>
          </w:tcPr>
          <w:p w14:paraId="5E7692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cstheme="minorBidi"/>
                <w:iCs w:val="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695" w:type="dxa"/>
            <w:vMerge w:val="continue"/>
            <w:tcBorders>
              <w:right w:val="single" w:color="auto" w:sz="4" w:space="0"/>
            </w:tcBorders>
          </w:tcPr>
          <w:p w14:paraId="16B52D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  <w:tr w14:paraId="3C568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2AFAB9EE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0D1831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/>
              </w:rPr>
              <w:t>2.15接口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3F1BF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560" w:type="dxa"/>
            <w:vAlign w:val="top"/>
          </w:tcPr>
          <w:p w14:paraId="0E2A11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005" w:type="dxa"/>
            <w:vMerge w:val="continue"/>
          </w:tcPr>
          <w:p w14:paraId="322136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cstheme="minorBidi"/>
                <w:iCs w:val="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695" w:type="dxa"/>
            <w:vMerge w:val="continue"/>
            <w:tcBorders>
              <w:right w:val="single" w:color="auto" w:sz="4" w:space="0"/>
            </w:tcBorders>
          </w:tcPr>
          <w:p w14:paraId="66DF8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  <w:tr w14:paraId="58134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46053BE5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0014EB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/>
              </w:rPr>
              <w:t>2.16 运行环境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214390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560" w:type="dxa"/>
            <w:vAlign w:val="top"/>
          </w:tcPr>
          <w:p w14:paraId="01856B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theme="minorBidi"/>
                <w:iCs w:val="0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005" w:type="dxa"/>
            <w:vMerge w:val="continue"/>
          </w:tcPr>
          <w:p w14:paraId="24F942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cstheme="minorBidi"/>
                <w:iCs w:val="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695" w:type="dxa"/>
            <w:vMerge w:val="continue"/>
            <w:tcBorders>
              <w:right w:val="single" w:color="auto" w:sz="4" w:space="0"/>
            </w:tcBorders>
          </w:tcPr>
          <w:p w14:paraId="3809C4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  <w:tr w14:paraId="39E28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</w:tcPr>
          <w:p w14:paraId="62BFB4CF">
            <w:pPr>
              <w:pStyle w:val="25"/>
              <w:numPr>
                <w:ilvl w:val="0"/>
                <w:numId w:val="3"/>
              </w:numPr>
              <w:spacing w:line="240" w:lineRule="auto"/>
              <w:ind w:firstLineChars="0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0672A7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/>
              </w:rPr>
              <w:t>2.17 性能效率</w:t>
            </w:r>
          </w:p>
        </w:tc>
        <w:tc>
          <w:tcPr>
            <w:tcW w:w="183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291E92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560" w:type="dxa"/>
            <w:vAlign w:val="top"/>
          </w:tcPr>
          <w:p w14:paraId="457CD2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005" w:type="dxa"/>
            <w:vMerge w:val="continue"/>
          </w:tcPr>
          <w:p w14:paraId="1CA9BE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 w:cstheme="minorBidi"/>
                <w:iCs w:val="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695" w:type="dxa"/>
            <w:vMerge w:val="continue"/>
            <w:tcBorders>
              <w:right w:val="single" w:color="auto" w:sz="4" w:space="0"/>
            </w:tcBorders>
          </w:tcPr>
          <w:p w14:paraId="176F8CC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</w:tbl>
    <w:p w14:paraId="507C0F76">
      <w:pPr>
        <w:rPr>
          <w:rFonts w:hint="eastAsia"/>
          <w:color w:val="auto"/>
          <w:highlight w:val="none"/>
          <w:lang w:val="en-US" w:eastAsia="zh-CN"/>
        </w:rPr>
      </w:pPr>
    </w:p>
    <w:p w14:paraId="77BFAB99">
      <w:pPr>
        <w:pStyle w:val="2"/>
        <w:numPr>
          <w:ilvl w:val="0"/>
          <w:numId w:val="2"/>
        </w:numPr>
        <w:bidi w:val="0"/>
        <w:ind w:left="0" w:firstLine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燃爆风险</w:t>
      </w:r>
    </w:p>
    <w:p w14:paraId="3F5F831A">
      <w:pPr>
        <w:keepNext w:val="0"/>
        <w:keepLines w:val="0"/>
        <w:pageBreakBefore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5" w:firstLineChars="227"/>
        <w:jc w:val="both"/>
        <w:textAlignment w:val="auto"/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/>
        </w:rPr>
        <w:t>全自动精浆生化分析仪（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A、T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</w:t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/>
        </w:rPr>
        <w:t>）为临床检验器械，无暴露于易燃、易爆物质或与其他可燃物、致燃物联合使用的医疗器械，故不适用。</w:t>
      </w:r>
    </w:p>
    <w:p w14:paraId="65438869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联合使用</w:t>
      </w:r>
    </w:p>
    <w:p w14:paraId="0199DB3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eastAsia="zh-CN"/>
        </w:rPr>
      </w:pPr>
      <w:r>
        <w:rPr>
          <w:rFonts w:hint="eastAsia"/>
          <w:color w:val="auto"/>
          <w:highlight w:val="none"/>
          <w:lang w:val="en-US" w:eastAsia="zh-CN"/>
        </w:rPr>
        <w:t>全自动精浆生化分析仪（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A、T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</w:t>
      </w:r>
      <w:r>
        <w:rPr>
          <w:rFonts w:hint="eastAsia"/>
          <w:color w:val="auto"/>
          <w:highlight w:val="none"/>
          <w:lang w:val="en-US" w:eastAsia="zh-CN"/>
        </w:rPr>
        <w:t>）为临床检验器械，与适配试剂配合使用，适配***机构注册的精浆系列检测试剂。</w:t>
      </w:r>
    </w:p>
    <w:p w14:paraId="614274F7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量效关系和能量安全</w:t>
      </w:r>
    </w:p>
    <w:p w14:paraId="12DB0E00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eastAsia="宋体" w:asciiTheme="minorAscii" w:hAnsiTheme="minorAscii" w:cstheme="minorBidi"/>
          <w:color w:val="auto"/>
          <w:kern w:val="44"/>
          <w:sz w:val="28"/>
          <w:szCs w:val="28"/>
          <w:highlight w:val="none"/>
          <w:lang w:val="en-US" w:eastAsia="zh-CN" w:bidi="ar-SA"/>
        </w:rPr>
      </w:pPr>
      <w:bookmarkStart w:id="0" w:name="_Toc118206691"/>
      <w:bookmarkStart w:id="1" w:name="_Toc30186"/>
      <w:bookmarkStart w:id="2" w:name="_Toc1888"/>
      <w:r>
        <w:rPr>
          <w:rFonts w:hint="eastAsia" w:eastAsia="宋体" w:asciiTheme="minorAscii" w:hAnsiTheme="minorAscii" w:cstheme="minorBidi"/>
          <w:color w:val="auto"/>
          <w:kern w:val="44"/>
          <w:sz w:val="28"/>
          <w:szCs w:val="28"/>
          <w:highlight w:val="none"/>
          <w:lang w:val="en-US" w:eastAsia="zh-CN" w:bidi="ar-SA"/>
        </w:rPr>
        <w:t>全自动精浆生化分析仪（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A、T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xx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</w:t>
      </w:r>
      <w:bookmarkStart w:id="3" w:name="_GoBack"/>
      <w:bookmarkEnd w:id="3"/>
      <w:r>
        <w:rPr>
          <w:rFonts w:hint="eastAsia" w:eastAsia="宋体" w:asciiTheme="minorAscii" w:hAnsiTheme="minorAscii" w:cstheme="minorBidi"/>
          <w:color w:val="auto"/>
          <w:kern w:val="44"/>
          <w:sz w:val="28"/>
          <w:szCs w:val="28"/>
          <w:highlight w:val="none"/>
          <w:lang w:val="en-US" w:eastAsia="zh-CN" w:bidi="ar-SA"/>
        </w:rPr>
        <w:t>）为临床检验器械，</w:t>
      </w:r>
      <w:bookmarkEnd w:id="0"/>
      <w:bookmarkEnd w:id="1"/>
      <w:bookmarkEnd w:id="2"/>
      <w:r>
        <w:rPr>
          <w:rFonts w:hint="eastAsia" w:eastAsia="宋体" w:asciiTheme="minorAscii" w:hAnsiTheme="minorAscii" w:cstheme="minorBidi"/>
          <w:color w:val="auto"/>
          <w:kern w:val="44"/>
          <w:sz w:val="28"/>
          <w:szCs w:val="28"/>
          <w:highlight w:val="none"/>
          <w:lang w:val="en-US" w:eastAsia="zh-CN" w:bidi="ar-SA"/>
        </w:rPr>
        <w:t>不与患者直接接触，不向患者提供能量或物质治疗，故不适用。</w:t>
      </w:r>
    </w:p>
    <w:p w14:paraId="74BACD44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eastAsia="宋体" w:asciiTheme="minorAscii" w:hAnsiTheme="minorAscii" w:cstheme="minorBidi"/>
          <w:color w:val="auto"/>
          <w:kern w:val="44"/>
          <w:sz w:val="28"/>
          <w:szCs w:val="28"/>
          <w:highlight w:val="none"/>
          <w:lang w:val="en-US" w:eastAsia="zh-CN" w:bidi="ar-SA"/>
        </w:rPr>
      </w:pPr>
    </w:p>
    <w:sectPr>
      <w:footerReference r:id="rId3" w:type="default"/>
      <w:pgSz w:w="11906" w:h="16838"/>
      <w:pgMar w:top="1701" w:right="1417" w:bottom="1701" w:left="1417" w:header="1134" w:footer="1134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274D2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321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D0A8F">
                          <w:pPr>
                            <w:pStyle w:val="12"/>
                            <w:jc w:val="both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22.3pt;mso-position-horizontal:center;mso-position-horizontal-relative:margin;z-index:251659264;mso-width-relative:page;mso-height-relative:page;" filled="f" stroked="f" coordsize="21600,21600" o:gfxdata="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TixFbUAAAABAEAAA8AAAAAAAAAAQAgAAAAIgAAAGRycy9kb3ducmV2Lnht&#10;bFBLAQIUABQAAAAIAIdO4kANKfR2NgIAAGIEAAAOAAAAAAAAAAEAIAAAACM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3D0A8F">
                    <w:pPr>
                      <w:pStyle w:val="12"/>
                      <w:jc w:val="both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1BD1B"/>
    <w:multiLevelType w:val="multilevel"/>
    <w:tmpl w:val="8E31BD1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77B000"/>
    <w:multiLevelType w:val="singleLevel"/>
    <w:tmpl w:val="E777B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2">
    <w:nsid w:val="53F2780A"/>
    <w:multiLevelType w:val="singleLevel"/>
    <w:tmpl w:val="53F2780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2980056D"/>
    <w:rsid w:val="005C6ABD"/>
    <w:rsid w:val="03A02FA5"/>
    <w:rsid w:val="0733189E"/>
    <w:rsid w:val="0F864C61"/>
    <w:rsid w:val="107C2B91"/>
    <w:rsid w:val="10D027DA"/>
    <w:rsid w:val="17BE60F1"/>
    <w:rsid w:val="18651D95"/>
    <w:rsid w:val="1936033F"/>
    <w:rsid w:val="1B54392B"/>
    <w:rsid w:val="1D7774E0"/>
    <w:rsid w:val="1DE439C2"/>
    <w:rsid w:val="24D4687B"/>
    <w:rsid w:val="26441500"/>
    <w:rsid w:val="28D3584B"/>
    <w:rsid w:val="2929218F"/>
    <w:rsid w:val="293E0735"/>
    <w:rsid w:val="2980056D"/>
    <w:rsid w:val="2AE30649"/>
    <w:rsid w:val="2BC76C50"/>
    <w:rsid w:val="2E400F3C"/>
    <w:rsid w:val="32582CF8"/>
    <w:rsid w:val="344A041F"/>
    <w:rsid w:val="36703D6C"/>
    <w:rsid w:val="38BB5D8F"/>
    <w:rsid w:val="3AD52FAC"/>
    <w:rsid w:val="3B872459"/>
    <w:rsid w:val="3D201FD9"/>
    <w:rsid w:val="3D6E56CE"/>
    <w:rsid w:val="3E0E6877"/>
    <w:rsid w:val="3E9608FC"/>
    <w:rsid w:val="3FAE08C8"/>
    <w:rsid w:val="44516C47"/>
    <w:rsid w:val="46E763F3"/>
    <w:rsid w:val="4A044DB9"/>
    <w:rsid w:val="4AD638C2"/>
    <w:rsid w:val="4B861407"/>
    <w:rsid w:val="4C9E5C65"/>
    <w:rsid w:val="4F915753"/>
    <w:rsid w:val="527E4B1B"/>
    <w:rsid w:val="53CB0DAE"/>
    <w:rsid w:val="5627460C"/>
    <w:rsid w:val="56E021D6"/>
    <w:rsid w:val="579955A1"/>
    <w:rsid w:val="59886F95"/>
    <w:rsid w:val="5A841F64"/>
    <w:rsid w:val="5B6E41C7"/>
    <w:rsid w:val="5BFC633D"/>
    <w:rsid w:val="6033493B"/>
    <w:rsid w:val="605F7014"/>
    <w:rsid w:val="6097010C"/>
    <w:rsid w:val="615F3904"/>
    <w:rsid w:val="62094865"/>
    <w:rsid w:val="622A50F6"/>
    <w:rsid w:val="63984F4F"/>
    <w:rsid w:val="65B7192D"/>
    <w:rsid w:val="677B2880"/>
    <w:rsid w:val="688537BA"/>
    <w:rsid w:val="68E02B24"/>
    <w:rsid w:val="6BCE2A5C"/>
    <w:rsid w:val="6BE13669"/>
    <w:rsid w:val="6D12279A"/>
    <w:rsid w:val="6DC76061"/>
    <w:rsid w:val="6E745EE4"/>
    <w:rsid w:val="6F2D6793"/>
    <w:rsid w:val="7103488A"/>
    <w:rsid w:val="730117DD"/>
    <w:rsid w:val="749B2E64"/>
    <w:rsid w:val="776112D4"/>
    <w:rsid w:val="784D55CE"/>
    <w:rsid w:val="7A65727C"/>
    <w:rsid w:val="7B7B73CA"/>
    <w:rsid w:val="7B837F91"/>
    <w:rsid w:val="7BAC5E8A"/>
    <w:rsid w:val="7D724B59"/>
    <w:rsid w:val="7E0F07F4"/>
    <w:rsid w:val="7ECF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outlineLvl w:val="0"/>
    </w:pPr>
    <w:rPr>
      <w:rFonts w:eastAsia="宋体" w:asciiTheme="minorAscii" w:hAnsiTheme="minorAscii"/>
      <w:kern w:val="44"/>
      <w:sz w:val="28"/>
      <w:szCs w:val="28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75" w:leftChars="0" w:hanging="575"/>
      <w:outlineLvl w:val="1"/>
    </w:pPr>
    <w:rPr>
      <w:rFonts w:ascii="Times New Roman" w:hAnsi="Times New Roman" w:eastAsia="宋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20" w:leftChars="0" w:hanging="720"/>
      <w:outlineLvl w:val="2"/>
    </w:pPr>
    <w:rPr>
      <w:rFonts w:ascii="Times New Roman" w:hAnsi="Times New Roman" w:eastAsia="宋体"/>
      <w:sz w:val="28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qFormat/>
    <w:uiPriority w:val="0"/>
    <w:pPr>
      <w:ind w:left="840" w:leftChars="400"/>
    </w:p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toc 2"/>
    <w:basedOn w:val="1"/>
    <w:next w:val="1"/>
    <w:autoRedefine/>
    <w:qFormat/>
    <w:uiPriority w:val="0"/>
    <w:pPr>
      <w:ind w:left="420" w:leftChars="200"/>
    </w:pPr>
  </w:style>
  <w:style w:type="paragraph" w:styleId="16">
    <w:name w:val="Normal (Web)"/>
    <w:basedOn w:val="1"/>
    <w:autoRedefine/>
    <w:qFormat/>
    <w:uiPriority w:val="0"/>
    <w:rPr>
      <w:sz w:val="24"/>
    </w:rPr>
  </w:style>
  <w:style w:type="table" w:styleId="18">
    <w:name w:val="Table Grid"/>
    <w:basedOn w:val="1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2">
    <w:name w:val="WPSOffice手动目录 3"/>
    <w:autoRedefine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3">
    <w:name w:val="正文表标题"/>
    <w:next w:val="24"/>
    <w:autoRedefine/>
    <w:qFormat/>
    <w:uiPriority w:val="0"/>
    <w:pPr>
      <w:ind w:left="4111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4">
    <w:name w:val="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列出段落1"/>
    <w:basedOn w:val="1"/>
    <w:autoRedefine/>
    <w:qFormat/>
    <w:uiPriority w:val="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844</Words>
  <Characters>1174</Characters>
  <Lines>0</Lines>
  <Paragraphs>0</Paragraphs>
  <TotalTime>0</TotalTime>
  <ScaleCrop>false</ScaleCrop>
  <LinksUpToDate>false</LinksUpToDate>
  <CharactersWithSpaces>1196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2023-01-28T07:36:00Z</dcterms:created>
  <dc:creator>zhengyan</dc:creator>
  <cp:lastModifiedBy>chenxiamin</cp:lastModifiedBy>
  <dcterms:modified xsi:type="dcterms:W3CDTF">2026-08-25T08:48:13Z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C8D35B7F2827405198DFD99585E976A1</vt:lpwstr>
  </property>
  <property fmtid="{D5CDD505-2E9C-101B-9397-08002B2CF9AE}" pid="4" name="KSOTemplateDocerSaveRecord">
    <vt:lpwstr>eyJoZGlkIjoiYmVhNDAxMjZkNjU0NTdhMDJjZjIwNjMwMWVmMTllMTQifQ==</vt:lpwstr>
  </property>
</Properties>
</file>