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C32B8">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6847B19C">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r>
        <w:drawing>
          <wp:anchor distT="0" distB="0" distL="114300" distR="114300" simplePos="0" relativeHeight="251660288" behindDoc="0" locked="0" layoutInCell="1" allowOverlap="1">
            <wp:simplePos x="0" y="0"/>
            <wp:positionH relativeFrom="column">
              <wp:posOffset>2329180</wp:posOffset>
            </wp:positionH>
            <wp:positionV relativeFrom="paragraph">
              <wp:posOffset>255905</wp:posOffset>
            </wp:positionV>
            <wp:extent cx="908050" cy="899795"/>
            <wp:effectExtent l="0" t="0" r="6350" b="14605"/>
            <wp:wrapNone/>
            <wp:docPr id="1" name="图片 1" descr="BEION-AI-LOGO-18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EION-AI-LOGO-18mm"/>
                    <pic:cNvPicPr>
                      <a:picLocks noChangeAspect="1" noChangeArrowheads="1"/>
                    </pic:cNvPicPr>
                  </pic:nvPicPr>
                  <pic:blipFill>
                    <a:blip r:embed="rId7"/>
                    <a:srcRect/>
                    <a:stretch>
                      <a:fillRect/>
                    </a:stretch>
                  </pic:blipFill>
                  <pic:spPr>
                    <a:xfrm>
                      <a:off x="0" y="0"/>
                      <a:ext cx="908050" cy="899795"/>
                    </a:xfrm>
                    <a:prstGeom prst="rect">
                      <a:avLst/>
                    </a:prstGeom>
                    <a:noFill/>
                    <a:ln w="9525">
                      <a:noFill/>
                      <a:miter lim="800000"/>
                      <a:headEnd/>
                      <a:tailEnd/>
                    </a:ln>
                  </pic:spPr>
                </pic:pic>
              </a:graphicData>
            </a:graphic>
          </wp:anchor>
        </w:drawing>
      </w:r>
    </w:p>
    <w:p w14:paraId="5D2615EE">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4374B8C0">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75F8775E">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val="en-US" w:eastAsia="zh-CN"/>
        </w:rPr>
      </w:pPr>
    </w:p>
    <w:p w14:paraId="077190FB">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医疗器械</w:t>
      </w:r>
      <w:r>
        <w:rPr>
          <w:rFonts w:hint="eastAsia" w:ascii="宋体" w:hAnsi="宋体" w:eastAsia="宋体" w:cs="宋体"/>
          <w:b/>
          <w:bCs/>
          <w:sz w:val="32"/>
          <w:szCs w:val="32"/>
          <w:lang w:eastAsia="zh-CN"/>
        </w:rPr>
        <w:t>使用错误评估报告</w:t>
      </w:r>
    </w:p>
    <w:p w14:paraId="7C10AA7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7C96C18D">
      <w:pPr>
        <w:jc w:val="center"/>
        <w:rPr>
          <w:rFonts w:hint="default" w:ascii="Times New Roman" w:hAnsi="Times New Roman" w:eastAsia="宋体" w:cs="宋体"/>
          <w:b/>
          <w:bCs/>
          <w:sz w:val="32"/>
          <w:szCs w:val="32"/>
          <w:lang w:val="en-US" w:eastAsia="zh-CN"/>
        </w:rPr>
      </w:pPr>
      <w:r>
        <w:rPr>
          <w:rFonts w:hint="eastAsia" w:ascii="宋体" w:hAnsi="宋体" w:eastAsia="宋体" w:cs="宋体"/>
          <w:b/>
          <w:bCs/>
          <w:sz w:val="32"/>
          <w:szCs w:val="32"/>
          <w:lang w:eastAsia="zh-CN"/>
        </w:rPr>
        <w:t>产品名称：</w:t>
      </w:r>
      <w:r>
        <w:rPr>
          <w:rFonts w:hint="eastAsia" w:ascii="Times New Roman" w:hAnsi="Times New Roman" w:eastAsia="宋体" w:cs="宋体"/>
          <w:b/>
          <w:bCs/>
          <w:sz w:val="32"/>
          <w:szCs w:val="32"/>
          <w:lang w:val="en-US" w:eastAsia="zh-CN"/>
        </w:rPr>
        <w:t>全自动精浆生化分析仪</w:t>
      </w:r>
    </w:p>
    <w:p w14:paraId="47752A4C">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29DA27F3">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产品型号：</w:t>
      </w:r>
      <w:r>
        <w:rPr>
          <w:rFonts w:hint="eastAsia" w:ascii="Times New Roman" w:hAnsi="Times New Roman" w:eastAsia="宋体" w:cs="宋体"/>
          <w:b/>
          <w:bCs/>
          <w:sz w:val="32"/>
          <w:szCs w:val="32"/>
        </w:rPr>
        <w:t>BEION T200A、BEION T200B</w:t>
      </w:r>
    </w:p>
    <w:p w14:paraId="34B7066B">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0778C861">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eastAsia="zh-CN"/>
        </w:rPr>
        <w:t>编制</w:t>
      </w:r>
      <w:r>
        <w:rPr>
          <w:rFonts w:hint="eastAsia" w:ascii="宋体" w:hAnsi="宋体" w:eastAsia="宋体" w:cs="宋体"/>
          <w:b/>
          <w:bCs/>
          <w:sz w:val="32"/>
          <w:szCs w:val="32"/>
          <w:lang w:val="en-US" w:eastAsia="zh-CN"/>
        </w:rPr>
        <w:t>/日期</w:t>
      </w: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胡斌、杨华/2025-01-08</w:t>
      </w:r>
    </w:p>
    <w:p w14:paraId="3CD17A31">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eastAsia="zh-CN"/>
        </w:rPr>
        <w:t>审核</w:t>
      </w:r>
      <w:r>
        <w:rPr>
          <w:rFonts w:hint="eastAsia" w:ascii="宋体" w:hAnsi="宋体" w:eastAsia="宋体" w:cs="宋体"/>
          <w:b/>
          <w:bCs/>
          <w:sz w:val="32"/>
          <w:szCs w:val="32"/>
          <w:lang w:val="en-US" w:eastAsia="zh-CN"/>
        </w:rPr>
        <w:t>/日期：汪银成/2025-01-10</w:t>
      </w:r>
    </w:p>
    <w:p w14:paraId="06C54307">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批准/日期：陈夏敏/2025-01-10</w:t>
      </w:r>
      <w:bookmarkStart w:id="22" w:name="_GoBack"/>
      <w:bookmarkEnd w:id="22"/>
    </w:p>
    <w:p w14:paraId="2AAB2CFD">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val="en-US" w:eastAsia="zh-CN"/>
        </w:rPr>
      </w:pPr>
    </w:p>
    <w:p w14:paraId="4F297F9F">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p>
    <w:p w14:paraId="1E1E796D">
      <w:pPr>
        <w:rPr>
          <w:rFonts w:hint="default" w:ascii="宋体" w:hAnsi="宋体" w:eastAsia="宋体" w:cs="宋体"/>
          <w:b/>
          <w:bCs/>
          <w:sz w:val="32"/>
          <w:szCs w:val="32"/>
          <w:lang w:val="en-US" w:eastAsia="zh-CN"/>
        </w:rPr>
      </w:pPr>
    </w:p>
    <w:p w14:paraId="2BC78629">
      <w:pPr>
        <w:pStyle w:val="2"/>
        <w:rPr>
          <w:rFonts w:hint="default" w:ascii="宋体" w:hAnsi="宋体" w:eastAsia="宋体" w:cs="宋体"/>
          <w:b/>
          <w:bCs/>
          <w:sz w:val="32"/>
          <w:szCs w:val="32"/>
          <w:lang w:val="en-US" w:eastAsia="zh-CN"/>
        </w:rPr>
      </w:pPr>
    </w:p>
    <w:p w14:paraId="30083C42">
      <w:pPr>
        <w:rPr>
          <w:rFonts w:hint="default"/>
          <w:lang w:val="en-US" w:eastAsia="zh-CN"/>
        </w:rPr>
      </w:pPr>
    </w:p>
    <w:p w14:paraId="5D38F81D">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rPr>
        <w:sectPr>
          <w:headerReference r:id="rId3" w:type="default"/>
          <w:pgSz w:w="11906" w:h="16838"/>
          <w:pgMar w:top="1701" w:right="1417" w:bottom="1417" w:left="1701" w:header="1417" w:footer="1134"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imes New Roman" w:hAnsi="Times New Roman" w:eastAsia="宋体" w:cs="宋体"/>
          <w:b/>
          <w:bCs/>
          <w:sz w:val="40"/>
          <w:szCs w:val="40"/>
        </w:rPr>
        <w:t>北昂***机构</w:t>
      </w:r>
    </w:p>
    <w:p w14:paraId="1F3E807B">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bCs/>
          <w:sz w:val="32"/>
          <w:szCs w:val="32"/>
        </w:rPr>
      </w:pPr>
    </w:p>
    <w:sdt>
      <w:sdtPr>
        <w:rPr>
          <w:rFonts w:ascii="宋体" w:hAnsi="宋体" w:eastAsia="宋体" w:cstheme="minorBidi"/>
          <w:kern w:val="2"/>
          <w:sz w:val="21"/>
          <w:szCs w:val="24"/>
          <w:lang w:val="en-US" w:eastAsia="zh-CN" w:bidi="ar-SA"/>
        </w:rPr>
        <w:id w:val="147453465"/>
        <w15:color w:val="DBDBDB"/>
        <w:docPartObj>
          <w:docPartGallery w:val="Table of Contents"/>
          <w:docPartUnique/>
        </w:docPartObj>
      </w:sdtPr>
      <w:sdtEndPr>
        <w:rPr>
          <w:rFonts w:hint="eastAsia" w:ascii="宋体" w:hAnsi="宋体" w:eastAsia="宋体" w:cs="宋体"/>
          <w:bCs/>
          <w:kern w:val="2"/>
          <w:sz w:val="21"/>
          <w:szCs w:val="32"/>
          <w:lang w:val="en-US" w:eastAsia="zh-CN" w:bidi="ar-SA"/>
        </w:rPr>
      </w:sdtEndPr>
      <w:sdtContent>
        <w:p w14:paraId="147287B9">
          <w:pPr>
            <w:spacing w:before="0" w:beforeLines="0" w:after="0" w:afterLines="0" w:line="240" w:lineRule="auto"/>
            <w:ind w:left="0" w:leftChars="0" w:right="0" w:rightChars="0" w:firstLine="0" w:firstLineChars="0"/>
            <w:jc w:val="center"/>
            <w:rPr>
              <w:rFonts w:ascii="Times New Roman" w:hAnsi="Times New Roman" w:eastAsia="宋体"/>
              <w:b/>
              <w:bCs/>
              <w:sz w:val="28"/>
            </w:rPr>
          </w:pPr>
          <w:r>
            <w:rPr>
              <w:rFonts w:ascii="Times New Roman" w:hAnsi="Times New Roman" w:eastAsia="宋体"/>
              <w:b/>
              <w:bCs/>
              <w:sz w:val="28"/>
            </w:rPr>
            <w:t>目录</w:t>
          </w:r>
        </w:p>
        <w:p w14:paraId="0A53E31F">
          <w:pPr>
            <w:pStyle w:val="16"/>
            <w:tabs>
              <w:tab w:val="right" w:leader="dot" w:pos="8788"/>
            </w:tabs>
          </w:pPr>
          <w:r>
            <w:rPr>
              <w:rFonts w:hint="eastAsia" w:asciiTheme="minorEastAsia" w:hAnsiTheme="minorEastAsia" w:eastAsiaTheme="minorEastAsia" w:cstheme="minorEastAsia"/>
              <w:b/>
              <w:bCs/>
              <w:sz w:val="28"/>
              <w:szCs w:val="28"/>
            </w:rPr>
            <w:fldChar w:fldCharType="begin"/>
          </w:r>
          <w:r>
            <w:rPr>
              <w:rFonts w:hint="eastAsia" w:asciiTheme="minorEastAsia" w:hAnsiTheme="minorEastAsia" w:eastAsiaTheme="minorEastAsia" w:cstheme="minorEastAsia"/>
              <w:b/>
              <w:bCs/>
              <w:sz w:val="28"/>
              <w:szCs w:val="28"/>
            </w:rPr>
            <w:instrText xml:space="preserve">TOC \o "1-3" \h \u </w:instrText>
          </w:r>
          <w:r>
            <w:rPr>
              <w:rFonts w:hint="eastAsia" w:asciiTheme="minorEastAsia" w:hAnsiTheme="minorEastAsia" w:eastAsiaTheme="minorEastAsia" w:cstheme="minorEastAsia"/>
              <w:b/>
              <w:bCs/>
              <w:sz w:val="28"/>
              <w:szCs w:val="28"/>
            </w:rPr>
            <w:fldChar w:fldCharType="separate"/>
          </w: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_Toc9292 </w:instrText>
          </w:r>
          <w:r>
            <w:rPr>
              <w:rFonts w:hint="eastAsia" w:asciiTheme="minorEastAsia" w:hAnsiTheme="minorEastAsia" w:eastAsiaTheme="minorEastAsia" w:cstheme="minorEastAsia"/>
              <w:bCs/>
              <w:szCs w:val="28"/>
            </w:rPr>
            <w:fldChar w:fldCharType="separate"/>
          </w:r>
          <w:r>
            <w:rPr>
              <w:rFonts w:hint="default"/>
            </w:rPr>
            <w:t xml:space="preserve">1. </w:t>
          </w:r>
          <w:r>
            <w:t>基本信息</w:t>
          </w:r>
          <w:r>
            <w:tab/>
          </w:r>
          <w:r>
            <w:fldChar w:fldCharType="begin"/>
          </w:r>
          <w:r>
            <w:instrText xml:space="preserve"> PAGEREF _Toc9292 \h </w:instrText>
          </w:r>
          <w:r>
            <w:fldChar w:fldCharType="separate"/>
          </w:r>
          <w:r>
            <w:t>3</w:t>
          </w:r>
          <w:r>
            <w:fldChar w:fldCharType="end"/>
          </w:r>
          <w:r>
            <w:rPr>
              <w:rFonts w:hint="eastAsia" w:asciiTheme="minorEastAsia" w:hAnsiTheme="minorEastAsia" w:eastAsiaTheme="minorEastAsia" w:cstheme="minorEastAsia"/>
              <w:bCs/>
              <w:szCs w:val="28"/>
            </w:rPr>
            <w:fldChar w:fldCharType="end"/>
          </w:r>
        </w:p>
        <w:p w14:paraId="56B90299">
          <w:pPr>
            <w:pStyle w:val="16"/>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_Toc8111 </w:instrText>
          </w:r>
          <w:r>
            <w:rPr>
              <w:rFonts w:hint="eastAsia" w:asciiTheme="minorEastAsia" w:hAnsiTheme="minorEastAsia" w:eastAsiaTheme="minorEastAsia" w:cstheme="minorEastAsia"/>
              <w:bCs/>
              <w:szCs w:val="28"/>
            </w:rPr>
            <w:fldChar w:fldCharType="separate"/>
          </w:r>
          <w:r>
            <w:rPr>
              <w:rFonts w:hint="default"/>
            </w:rPr>
            <w:t xml:space="preserve">2. </w:t>
          </w:r>
          <w:r>
            <w:t>使用风险级别</w:t>
          </w:r>
          <w:r>
            <w:tab/>
          </w:r>
          <w:r>
            <w:fldChar w:fldCharType="begin"/>
          </w:r>
          <w:r>
            <w:instrText xml:space="preserve"> PAGEREF _Toc8111 \h </w:instrText>
          </w:r>
          <w:r>
            <w:fldChar w:fldCharType="separate"/>
          </w:r>
          <w:r>
            <w:t>3</w:t>
          </w:r>
          <w:r>
            <w:fldChar w:fldCharType="end"/>
          </w:r>
          <w:r>
            <w:rPr>
              <w:rFonts w:hint="eastAsia" w:asciiTheme="minorEastAsia" w:hAnsiTheme="minorEastAsia" w:eastAsiaTheme="minorEastAsia" w:cstheme="minorEastAsia"/>
              <w:bCs/>
              <w:szCs w:val="28"/>
            </w:rPr>
            <w:fldChar w:fldCharType="end"/>
          </w:r>
        </w:p>
        <w:p w14:paraId="7636EC89">
          <w:pPr>
            <w:pStyle w:val="16"/>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_Toc29103 </w:instrText>
          </w:r>
          <w:r>
            <w:rPr>
              <w:rFonts w:hint="eastAsia" w:asciiTheme="minorEastAsia" w:hAnsiTheme="minorEastAsia" w:eastAsiaTheme="minorEastAsia" w:cstheme="minorEastAsia"/>
              <w:bCs/>
              <w:szCs w:val="28"/>
            </w:rPr>
            <w:fldChar w:fldCharType="separate"/>
          </w:r>
          <w:r>
            <w:rPr>
              <w:rFonts w:hint="default"/>
            </w:rPr>
            <w:t xml:space="preserve">3. </w:t>
          </w:r>
          <w:r>
            <w:t>核心要素</w:t>
          </w:r>
          <w:r>
            <w:tab/>
          </w:r>
          <w:r>
            <w:fldChar w:fldCharType="begin"/>
          </w:r>
          <w:r>
            <w:instrText xml:space="preserve"> PAGEREF _Toc29103 \h </w:instrText>
          </w:r>
          <w:r>
            <w:fldChar w:fldCharType="separate"/>
          </w:r>
          <w:r>
            <w:t>3</w:t>
          </w:r>
          <w:r>
            <w:fldChar w:fldCharType="end"/>
          </w:r>
          <w:r>
            <w:rPr>
              <w:rFonts w:hint="eastAsia" w:asciiTheme="minorEastAsia" w:hAnsiTheme="minorEastAsia" w:eastAsiaTheme="minorEastAsia" w:cstheme="minorEastAsia"/>
              <w:bCs/>
              <w:szCs w:val="28"/>
            </w:rPr>
            <w:fldChar w:fldCharType="end"/>
          </w:r>
        </w:p>
        <w:p w14:paraId="2B8B30BD">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_Toc31654 </w:instrText>
          </w:r>
          <w:r>
            <w:rPr>
              <w:rFonts w:hint="eastAsia" w:asciiTheme="minorEastAsia" w:hAnsiTheme="minorEastAsia" w:eastAsiaTheme="minorEastAsia" w:cstheme="minorEastAsia"/>
              <w:bCs/>
              <w:szCs w:val="28"/>
            </w:rPr>
            <w:fldChar w:fldCharType="separate"/>
          </w:r>
          <w:r>
            <w:rPr>
              <w:rFonts w:hint="default" w:eastAsia="宋体" w:asciiTheme="minorAscii" w:hAnsiTheme="minorAscii" w:cstheme="minorBidi"/>
              <w:kern w:val="44"/>
              <w:szCs w:val="28"/>
              <w:lang w:val="en-US" w:eastAsia="zh-CN" w:bidi="ar-SA"/>
            </w:rPr>
            <w:t>3.1.1. 医疗器械用户</w:t>
          </w:r>
          <w:r>
            <w:tab/>
          </w:r>
          <w:r>
            <w:fldChar w:fldCharType="begin"/>
          </w:r>
          <w:r>
            <w:instrText xml:space="preserve"> PAGEREF _Toc31654 \h </w:instrText>
          </w:r>
          <w:r>
            <w:fldChar w:fldCharType="separate"/>
          </w:r>
          <w:r>
            <w:t>3</w:t>
          </w:r>
          <w:r>
            <w:fldChar w:fldCharType="end"/>
          </w:r>
          <w:r>
            <w:rPr>
              <w:rFonts w:hint="eastAsia" w:asciiTheme="minorEastAsia" w:hAnsiTheme="minorEastAsia" w:eastAsiaTheme="minorEastAsia" w:cstheme="minorEastAsia"/>
              <w:bCs/>
              <w:szCs w:val="28"/>
            </w:rPr>
            <w:fldChar w:fldCharType="end"/>
          </w:r>
        </w:p>
        <w:p w14:paraId="6AFF2151">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_Toc14475 </w:instrText>
          </w:r>
          <w:r>
            <w:rPr>
              <w:rFonts w:hint="eastAsia" w:asciiTheme="minorEastAsia" w:hAnsiTheme="minorEastAsia" w:eastAsiaTheme="minorEastAsia" w:cstheme="minorEastAsia"/>
              <w:bCs/>
              <w:szCs w:val="28"/>
            </w:rPr>
            <w:fldChar w:fldCharType="separate"/>
          </w:r>
          <w:r>
            <w:rPr>
              <w:rFonts w:hint="default" w:eastAsia="宋体" w:asciiTheme="minorAscii" w:hAnsiTheme="minorAscii" w:cstheme="minorBidi"/>
              <w:kern w:val="44"/>
              <w:szCs w:val="28"/>
              <w:lang w:val="en-US" w:eastAsia="zh-CN" w:bidi="ar-SA"/>
            </w:rPr>
            <w:t>3.1.2. 使用场景</w:t>
          </w:r>
          <w:r>
            <w:tab/>
          </w:r>
          <w:r>
            <w:fldChar w:fldCharType="begin"/>
          </w:r>
          <w:r>
            <w:instrText xml:space="preserve"> PAGEREF _Toc14475 \h </w:instrText>
          </w:r>
          <w:r>
            <w:fldChar w:fldCharType="separate"/>
          </w:r>
          <w:r>
            <w:t>3</w:t>
          </w:r>
          <w:r>
            <w:fldChar w:fldCharType="end"/>
          </w:r>
          <w:r>
            <w:rPr>
              <w:rFonts w:hint="eastAsia" w:asciiTheme="minorEastAsia" w:hAnsiTheme="minorEastAsia" w:eastAsiaTheme="minorEastAsia" w:cstheme="minorEastAsia"/>
              <w:bCs/>
              <w:szCs w:val="28"/>
            </w:rPr>
            <w:fldChar w:fldCharType="end"/>
          </w:r>
        </w:p>
        <w:p w14:paraId="6873A8E3">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_Toc8554 </w:instrText>
          </w:r>
          <w:r>
            <w:rPr>
              <w:rFonts w:hint="eastAsia" w:asciiTheme="minorEastAsia" w:hAnsiTheme="minorEastAsia" w:eastAsiaTheme="minorEastAsia" w:cstheme="minorEastAsia"/>
              <w:bCs/>
              <w:szCs w:val="28"/>
            </w:rPr>
            <w:fldChar w:fldCharType="separate"/>
          </w:r>
          <w:r>
            <w:rPr>
              <w:rFonts w:hint="default" w:eastAsia="宋体" w:asciiTheme="minorAscii" w:hAnsiTheme="minorAscii" w:cstheme="minorBidi"/>
              <w:kern w:val="44"/>
              <w:szCs w:val="28"/>
              <w:lang w:val="en-US" w:eastAsia="zh-CN" w:bidi="ar-SA"/>
            </w:rPr>
            <w:t>3.1.3. 用户界面</w:t>
          </w:r>
          <w:r>
            <w:tab/>
          </w:r>
          <w:r>
            <w:fldChar w:fldCharType="begin"/>
          </w:r>
          <w:r>
            <w:instrText xml:space="preserve"> PAGEREF _Toc8554 \h </w:instrText>
          </w:r>
          <w:r>
            <w:fldChar w:fldCharType="separate"/>
          </w:r>
          <w:r>
            <w:t>4</w:t>
          </w:r>
          <w:r>
            <w:fldChar w:fldCharType="end"/>
          </w:r>
          <w:r>
            <w:rPr>
              <w:rFonts w:hint="eastAsia" w:asciiTheme="minorEastAsia" w:hAnsiTheme="minorEastAsia" w:eastAsiaTheme="minorEastAsia" w:cstheme="minorEastAsia"/>
              <w:bCs/>
              <w:szCs w:val="28"/>
            </w:rPr>
            <w:fldChar w:fldCharType="end"/>
          </w:r>
        </w:p>
        <w:p w14:paraId="6F5A82ED">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_Toc14418 </w:instrText>
          </w:r>
          <w:r>
            <w:rPr>
              <w:rFonts w:hint="eastAsia" w:asciiTheme="minorEastAsia" w:hAnsiTheme="minorEastAsia" w:eastAsiaTheme="minorEastAsia" w:cstheme="minorEastAsia"/>
              <w:bCs/>
              <w:szCs w:val="28"/>
            </w:rPr>
            <w:fldChar w:fldCharType="separate"/>
          </w:r>
          <w:r>
            <w:rPr>
              <w:rFonts w:hint="default" w:eastAsia="宋体" w:asciiTheme="minorAscii" w:hAnsiTheme="minorAscii" w:cstheme="minorBidi"/>
              <w:kern w:val="44"/>
              <w:szCs w:val="28"/>
              <w:lang w:val="en-US" w:eastAsia="zh-CN" w:bidi="ar-SA"/>
            </w:rPr>
            <w:t xml:space="preserve">3.1.4. </w:t>
          </w:r>
          <w:r>
            <w:rPr>
              <w:rFonts w:hint="eastAsia" w:eastAsia="宋体" w:asciiTheme="minorAscii" w:hAnsiTheme="minorAscii" w:cstheme="minorBidi"/>
              <w:kern w:val="44"/>
              <w:szCs w:val="28"/>
              <w:lang w:val="en-US" w:eastAsia="zh-CN" w:bidi="ar-SA"/>
            </w:rPr>
            <w:t>操作任务列表</w:t>
          </w:r>
          <w:r>
            <w:tab/>
          </w:r>
          <w:r>
            <w:fldChar w:fldCharType="begin"/>
          </w:r>
          <w:r>
            <w:instrText xml:space="preserve"> PAGEREF _Toc14418 \h </w:instrText>
          </w:r>
          <w:r>
            <w:fldChar w:fldCharType="separate"/>
          </w:r>
          <w:r>
            <w:t>4</w:t>
          </w:r>
          <w:r>
            <w:fldChar w:fldCharType="end"/>
          </w:r>
          <w:r>
            <w:rPr>
              <w:rFonts w:hint="eastAsia" w:asciiTheme="minorEastAsia" w:hAnsiTheme="minorEastAsia" w:eastAsiaTheme="minorEastAsia" w:cstheme="minorEastAsia"/>
              <w:bCs/>
              <w:szCs w:val="28"/>
            </w:rPr>
            <w:fldChar w:fldCharType="end"/>
          </w:r>
        </w:p>
        <w:p w14:paraId="7C39A086">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_Toc11899 </w:instrText>
          </w:r>
          <w:r>
            <w:rPr>
              <w:rFonts w:hint="eastAsia" w:asciiTheme="minorEastAsia" w:hAnsiTheme="minorEastAsia" w:eastAsiaTheme="minorEastAsia" w:cstheme="minorEastAsia"/>
              <w:bCs/>
              <w:szCs w:val="28"/>
            </w:rPr>
            <w:fldChar w:fldCharType="separate"/>
          </w:r>
          <w:r>
            <w:rPr>
              <w:rFonts w:hint="default" w:eastAsia="宋体" w:asciiTheme="minorAscii" w:hAnsiTheme="minorAscii" w:cstheme="minorBidi"/>
              <w:kern w:val="44"/>
              <w:szCs w:val="28"/>
              <w:lang w:val="en-US" w:eastAsia="zh-CN" w:bidi="ar-SA"/>
            </w:rPr>
            <w:t>3.1.5. 常见错误使用案例及风险点</w:t>
          </w:r>
          <w:r>
            <w:tab/>
          </w:r>
          <w:r>
            <w:fldChar w:fldCharType="begin"/>
          </w:r>
          <w:r>
            <w:instrText xml:space="preserve"> PAGEREF _Toc11899 \h </w:instrText>
          </w:r>
          <w:r>
            <w:fldChar w:fldCharType="separate"/>
          </w:r>
          <w:r>
            <w:t>4</w:t>
          </w:r>
          <w:r>
            <w:fldChar w:fldCharType="end"/>
          </w:r>
          <w:r>
            <w:rPr>
              <w:rFonts w:hint="eastAsia" w:asciiTheme="minorEastAsia" w:hAnsiTheme="minorEastAsia" w:eastAsiaTheme="minorEastAsia" w:cstheme="minorEastAsia"/>
              <w:bCs/>
              <w:szCs w:val="28"/>
            </w:rPr>
            <w:fldChar w:fldCharType="end"/>
          </w:r>
        </w:p>
        <w:p w14:paraId="33C66D7E">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_Toc19727 </w:instrText>
          </w:r>
          <w:r>
            <w:rPr>
              <w:rFonts w:hint="eastAsia" w:asciiTheme="minorEastAsia" w:hAnsiTheme="minorEastAsia" w:eastAsiaTheme="minorEastAsia" w:cstheme="minorEastAsia"/>
              <w:bCs/>
              <w:szCs w:val="28"/>
            </w:rPr>
            <w:fldChar w:fldCharType="separate"/>
          </w:r>
          <w:r>
            <w:rPr>
              <w:rFonts w:hint="default" w:eastAsia="宋体" w:asciiTheme="minorAscii" w:hAnsiTheme="minorAscii" w:cstheme="minorBidi"/>
              <w:kern w:val="44"/>
              <w:szCs w:val="28"/>
              <w:lang w:val="en-US" w:eastAsia="zh-CN" w:bidi="ar-SA"/>
            </w:rPr>
            <w:t>3.1.6. 风险控制措施</w:t>
          </w:r>
          <w:r>
            <w:tab/>
          </w:r>
          <w:r>
            <w:fldChar w:fldCharType="begin"/>
          </w:r>
          <w:r>
            <w:instrText xml:space="preserve"> PAGEREF _Toc19727 \h </w:instrText>
          </w:r>
          <w:r>
            <w:fldChar w:fldCharType="separate"/>
          </w:r>
          <w:r>
            <w:t>4</w:t>
          </w:r>
          <w:r>
            <w:fldChar w:fldCharType="end"/>
          </w:r>
          <w:r>
            <w:rPr>
              <w:rFonts w:hint="eastAsia" w:asciiTheme="minorEastAsia" w:hAnsiTheme="minorEastAsia" w:eastAsiaTheme="minorEastAsia" w:cstheme="minorEastAsia"/>
              <w:bCs/>
              <w:szCs w:val="28"/>
            </w:rPr>
            <w:fldChar w:fldCharType="end"/>
          </w:r>
        </w:p>
        <w:p w14:paraId="3E0589B0">
          <w:pPr>
            <w:pStyle w:val="16"/>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_Toc6425 </w:instrText>
          </w:r>
          <w:r>
            <w:rPr>
              <w:rFonts w:hint="eastAsia" w:asciiTheme="minorEastAsia" w:hAnsiTheme="minorEastAsia" w:eastAsiaTheme="minorEastAsia" w:cstheme="minorEastAsia"/>
              <w:bCs/>
              <w:szCs w:val="28"/>
            </w:rPr>
            <w:fldChar w:fldCharType="separate"/>
          </w:r>
          <w:r>
            <w:rPr>
              <w:rFonts w:hint="default"/>
            </w:rPr>
            <w:t xml:space="preserve">4. </w:t>
          </w:r>
          <w:r>
            <w:t>同类医疗器械上市后使用问题分析</w:t>
          </w:r>
          <w:r>
            <w:tab/>
          </w:r>
          <w:r>
            <w:fldChar w:fldCharType="begin"/>
          </w:r>
          <w:r>
            <w:instrText xml:space="preserve"> PAGEREF _Toc6425 \h </w:instrText>
          </w:r>
          <w:r>
            <w:fldChar w:fldCharType="separate"/>
          </w:r>
          <w:r>
            <w:t>5</w:t>
          </w:r>
          <w:r>
            <w:fldChar w:fldCharType="end"/>
          </w:r>
          <w:r>
            <w:rPr>
              <w:rFonts w:hint="eastAsia" w:asciiTheme="minorEastAsia" w:hAnsiTheme="minorEastAsia" w:eastAsiaTheme="minorEastAsia" w:cstheme="minorEastAsia"/>
              <w:bCs/>
              <w:szCs w:val="28"/>
            </w:rPr>
            <w:fldChar w:fldCharType="end"/>
          </w:r>
        </w:p>
        <w:p w14:paraId="4A72209C">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_Toc31963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 xml:space="preserve">4.1 </w:t>
          </w:r>
          <w:r>
            <w:rPr>
              <w:rFonts w:hint="eastAsia" w:asciiTheme="minorEastAsia" w:hAnsiTheme="minorEastAsia" w:eastAsiaTheme="minorEastAsia" w:cstheme="minorEastAsia"/>
              <w:bCs/>
              <w:i w:val="0"/>
              <w:iCs w:val="0"/>
              <w:caps w:val="0"/>
              <w:spacing w:val="0"/>
              <w:szCs w:val="24"/>
              <w:shd w:val="clear" w:fill="FFFFFF"/>
            </w:rPr>
            <w:t>文献来源范围</w:t>
          </w:r>
          <w:r>
            <w:tab/>
          </w:r>
          <w:r>
            <w:fldChar w:fldCharType="begin"/>
          </w:r>
          <w:r>
            <w:instrText xml:space="preserve"> PAGEREF _Toc31963 \h </w:instrText>
          </w:r>
          <w:r>
            <w:fldChar w:fldCharType="separate"/>
          </w:r>
          <w:r>
            <w:t>5</w:t>
          </w:r>
          <w:r>
            <w:fldChar w:fldCharType="end"/>
          </w:r>
          <w:r>
            <w:rPr>
              <w:rFonts w:hint="eastAsia" w:asciiTheme="minorEastAsia" w:hAnsiTheme="minorEastAsia" w:eastAsiaTheme="minorEastAsia" w:cstheme="minorEastAsia"/>
              <w:bCs/>
              <w:szCs w:val="28"/>
            </w:rPr>
            <w:fldChar w:fldCharType="end"/>
          </w:r>
        </w:p>
        <w:p w14:paraId="3B2BE696">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_Toc31851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 xml:space="preserve">4.2 </w:t>
          </w:r>
          <w:r>
            <w:rPr>
              <w:rFonts w:hint="eastAsia" w:asciiTheme="minorEastAsia" w:hAnsiTheme="minorEastAsia" w:eastAsiaTheme="minorEastAsia" w:cstheme="minorEastAsia"/>
              <w:bCs/>
              <w:i w:val="0"/>
              <w:iCs w:val="0"/>
              <w:caps w:val="0"/>
              <w:spacing w:val="0"/>
              <w:szCs w:val="24"/>
              <w:shd w:val="clear" w:fill="FFFFFF"/>
            </w:rPr>
            <w:t>检索时间范围</w:t>
          </w:r>
          <w:r>
            <w:tab/>
          </w:r>
          <w:r>
            <w:fldChar w:fldCharType="begin"/>
          </w:r>
          <w:r>
            <w:instrText xml:space="preserve"> PAGEREF _Toc31851 \h </w:instrText>
          </w:r>
          <w:r>
            <w:fldChar w:fldCharType="separate"/>
          </w:r>
          <w:r>
            <w:t>5</w:t>
          </w:r>
          <w:r>
            <w:fldChar w:fldCharType="end"/>
          </w:r>
          <w:r>
            <w:rPr>
              <w:rFonts w:hint="eastAsia" w:asciiTheme="minorEastAsia" w:hAnsiTheme="minorEastAsia" w:eastAsiaTheme="minorEastAsia" w:cstheme="minorEastAsia"/>
              <w:bCs/>
              <w:szCs w:val="28"/>
            </w:rPr>
            <w:fldChar w:fldCharType="end"/>
          </w:r>
        </w:p>
        <w:p w14:paraId="256F5282">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_Toc13799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 xml:space="preserve">4.4 </w:t>
          </w:r>
          <w:r>
            <w:rPr>
              <w:rFonts w:hint="eastAsia" w:asciiTheme="minorEastAsia" w:hAnsiTheme="minorEastAsia" w:eastAsiaTheme="minorEastAsia" w:cstheme="minorEastAsia"/>
              <w:bCs/>
              <w:i w:val="0"/>
              <w:iCs w:val="0"/>
              <w:caps w:val="0"/>
              <w:spacing w:val="0"/>
              <w:szCs w:val="24"/>
              <w:shd w:val="clear" w:fill="FFFFFF"/>
            </w:rPr>
            <w:t>文献选择标准</w:t>
          </w:r>
          <w:r>
            <w:tab/>
          </w:r>
          <w:r>
            <w:fldChar w:fldCharType="begin"/>
          </w:r>
          <w:r>
            <w:instrText xml:space="preserve"> PAGEREF _Toc13799 \h </w:instrText>
          </w:r>
          <w:r>
            <w:fldChar w:fldCharType="separate"/>
          </w:r>
          <w:r>
            <w:t>5</w:t>
          </w:r>
          <w:r>
            <w:fldChar w:fldCharType="end"/>
          </w:r>
          <w:r>
            <w:rPr>
              <w:rFonts w:hint="eastAsia" w:asciiTheme="minorEastAsia" w:hAnsiTheme="minorEastAsia" w:eastAsiaTheme="minorEastAsia" w:cstheme="minorEastAsia"/>
              <w:bCs/>
              <w:szCs w:val="28"/>
            </w:rPr>
            <w:fldChar w:fldCharType="end"/>
          </w:r>
        </w:p>
        <w:p w14:paraId="2663423E">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_Toc30429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4.</w:t>
          </w:r>
          <w:r>
            <w:rPr>
              <w:rFonts w:hint="eastAsia" w:asciiTheme="minorEastAsia" w:hAnsiTheme="minorEastAsia" w:eastAsiaTheme="minorEastAsia" w:cstheme="minorEastAsia"/>
              <w:bCs/>
              <w:i w:val="0"/>
              <w:iCs w:val="0"/>
              <w:caps w:val="0"/>
              <w:spacing w:val="0"/>
              <w:szCs w:val="24"/>
              <w:shd w:val="clear" w:fill="FFFFFF"/>
            </w:rPr>
            <w:t>5. 检索日期</w:t>
          </w:r>
          <w:r>
            <w:tab/>
          </w:r>
          <w:r>
            <w:fldChar w:fldCharType="begin"/>
          </w:r>
          <w:r>
            <w:instrText xml:space="preserve"> PAGEREF _Toc30429 \h </w:instrText>
          </w:r>
          <w:r>
            <w:fldChar w:fldCharType="separate"/>
          </w:r>
          <w:r>
            <w:t>6</w:t>
          </w:r>
          <w:r>
            <w:fldChar w:fldCharType="end"/>
          </w:r>
          <w:r>
            <w:rPr>
              <w:rFonts w:hint="eastAsia" w:asciiTheme="minorEastAsia" w:hAnsiTheme="minorEastAsia" w:eastAsiaTheme="minorEastAsia" w:cstheme="minorEastAsia"/>
              <w:bCs/>
              <w:szCs w:val="28"/>
            </w:rPr>
            <w:fldChar w:fldCharType="end"/>
          </w:r>
        </w:p>
        <w:p w14:paraId="7A46BD08">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_Toc27117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4.</w:t>
          </w:r>
          <w:r>
            <w:rPr>
              <w:rFonts w:hint="eastAsia" w:asciiTheme="minorEastAsia" w:hAnsiTheme="minorEastAsia" w:eastAsiaTheme="minorEastAsia" w:cstheme="minorEastAsia"/>
              <w:bCs/>
              <w:i w:val="0"/>
              <w:iCs w:val="0"/>
              <w:caps w:val="0"/>
              <w:spacing w:val="0"/>
              <w:szCs w:val="24"/>
              <w:shd w:val="clear" w:fill="FFFFFF"/>
            </w:rPr>
            <w:t>6. 检索人员</w:t>
          </w:r>
          <w:r>
            <w:tab/>
          </w:r>
          <w:r>
            <w:fldChar w:fldCharType="begin"/>
          </w:r>
          <w:r>
            <w:instrText xml:space="preserve"> PAGEREF _Toc27117 \h </w:instrText>
          </w:r>
          <w:r>
            <w:fldChar w:fldCharType="separate"/>
          </w:r>
          <w:r>
            <w:t>6</w:t>
          </w:r>
          <w:r>
            <w:fldChar w:fldCharType="end"/>
          </w:r>
          <w:r>
            <w:rPr>
              <w:rFonts w:hint="eastAsia" w:asciiTheme="minorEastAsia" w:hAnsiTheme="minorEastAsia" w:eastAsiaTheme="minorEastAsia" w:cstheme="minorEastAsia"/>
              <w:bCs/>
              <w:szCs w:val="28"/>
            </w:rPr>
            <w:fldChar w:fldCharType="end"/>
          </w:r>
        </w:p>
        <w:p w14:paraId="32B52CBD">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_Toc13398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4.7 检索结果</w:t>
          </w:r>
          <w:r>
            <w:tab/>
          </w:r>
          <w:r>
            <w:fldChar w:fldCharType="begin"/>
          </w:r>
          <w:r>
            <w:instrText xml:space="preserve"> PAGEREF _Toc13398 \h </w:instrText>
          </w:r>
          <w:r>
            <w:fldChar w:fldCharType="separate"/>
          </w:r>
          <w:r>
            <w:t>6</w:t>
          </w:r>
          <w:r>
            <w:fldChar w:fldCharType="end"/>
          </w:r>
          <w:r>
            <w:rPr>
              <w:rFonts w:hint="eastAsia" w:asciiTheme="minorEastAsia" w:hAnsiTheme="minorEastAsia" w:eastAsiaTheme="minorEastAsia" w:cstheme="minorEastAsia"/>
              <w:bCs/>
              <w:szCs w:val="28"/>
            </w:rPr>
            <w:fldChar w:fldCharType="end"/>
          </w:r>
        </w:p>
        <w:p w14:paraId="4C486214">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_Toc23043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 xml:space="preserve">4.7.1 </w:t>
          </w:r>
          <w:r>
            <w:rPr>
              <w:rFonts w:hint="eastAsia" w:asciiTheme="minorEastAsia" w:hAnsiTheme="minorEastAsia" w:eastAsiaTheme="minorEastAsia" w:cstheme="minorEastAsia"/>
              <w:bCs/>
              <w:i w:val="0"/>
              <w:iCs w:val="0"/>
              <w:caps w:val="0"/>
              <w:spacing w:val="0"/>
              <w:szCs w:val="24"/>
              <w:shd w:val="clear" w:fill="FFFFFF"/>
            </w:rPr>
            <w:t xml:space="preserve"> 不良事件与召回数据</w:t>
          </w:r>
          <w:r>
            <w:tab/>
          </w:r>
          <w:r>
            <w:fldChar w:fldCharType="begin"/>
          </w:r>
          <w:r>
            <w:instrText xml:space="preserve"> PAGEREF _Toc23043 \h </w:instrText>
          </w:r>
          <w:r>
            <w:fldChar w:fldCharType="separate"/>
          </w:r>
          <w:r>
            <w:t>6</w:t>
          </w:r>
          <w:r>
            <w:fldChar w:fldCharType="end"/>
          </w:r>
          <w:r>
            <w:rPr>
              <w:rFonts w:hint="eastAsia" w:asciiTheme="minorEastAsia" w:hAnsiTheme="minorEastAsia" w:eastAsiaTheme="minorEastAsia" w:cstheme="minorEastAsia"/>
              <w:bCs/>
              <w:szCs w:val="28"/>
            </w:rPr>
            <w:fldChar w:fldCharType="end"/>
          </w:r>
        </w:p>
        <w:p w14:paraId="2F89003C">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_Toc19253 </w:instrText>
          </w:r>
          <w:r>
            <w:rPr>
              <w:rFonts w:hint="eastAsia" w:asciiTheme="minorEastAsia" w:hAnsiTheme="minorEastAsia" w:eastAsiaTheme="minorEastAsia" w:cstheme="minorEastAsia"/>
              <w:bCs/>
              <w:szCs w:val="28"/>
            </w:rPr>
            <w:fldChar w:fldCharType="separate"/>
          </w:r>
          <w:r>
            <w:rPr>
              <w:rFonts w:hint="default" w:asciiTheme="minorEastAsia" w:hAnsiTheme="minorEastAsia" w:eastAsiaTheme="minorEastAsia" w:cstheme="minorEastAsia"/>
              <w:bCs/>
              <w:i w:val="0"/>
              <w:iCs w:val="0"/>
              <w:caps w:val="0"/>
              <w:spacing w:val="0"/>
              <w:szCs w:val="24"/>
            </w:rPr>
            <w:t xml:space="preserve">(1) </w:t>
          </w:r>
          <w:r>
            <w:rPr>
              <w:rFonts w:hint="eastAsia" w:asciiTheme="minorEastAsia" w:hAnsiTheme="minorEastAsia" w:eastAsiaTheme="minorEastAsia" w:cstheme="minorEastAsia"/>
              <w:bCs/>
              <w:i w:val="0"/>
              <w:iCs w:val="0"/>
              <w:caps w:val="0"/>
              <w:spacing w:val="0"/>
              <w:szCs w:val="24"/>
              <w:shd w:val="clear" w:fill="FFFFFF"/>
            </w:rPr>
            <w:t>中国NMPA召回信息</w:t>
          </w:r>
          <w:r>
            <w:tab/>
          </w:r>
          <w:r>
            <w:fldChar w:fldCharType="begin"/>
          </w:r>
          <w:r>
            <w:instrText xml:space="preserve"> PAGEREF _Toc19253 \h </w:instrText>
          </w:r>
          <w:r>
            <w:fldChar w:fldCharType="separate"/>
          </w:r>
          <w:r>
            <w:t>6</w:t>
          </w:r>
          <w:r>
            <w:fldChar w:fldCharType="end"/>
          </w:r>
          <w:r>
            <w:rPr>
              <w:rFonts w:hint="eastAsia" w:asciiTheme="minorEastAsia" w:hAnsiTheme="minorEastAsia" w:eastAsiaTheme="minorEastAsia" w:cstheme="minorEastAsia"/>
              <w:bCs/>
              <w:szCs w:val="28"/>
            </w:rPr>
            <w:fldChar w:fldCharType="end"/>
          </w:r>
        </w:p>
        <w:p w14:paraId="57095B84">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_Toc15907 </w:instrText>
          </w:r>
          <w:r>
            <w:rPr>
              <w:rFonts w:hint="eastAsia" w:asciiTheme="minorEastAsia" w:hAnsiTheme="minorEastAsia" w:eastAsiaTheme="minorEastAsia" w:cstheme="minorEastAsia"/>
              <w:bCs/>
              <w:szCs w:val="28"/>
            </w:rPr>
            <w:fldChar w:fldCharType="separate"/>
          </w:r>
          <w:r>
            <w:rPr>
              <w:rFonts w:hint="default" w:asciiTheme="minorEastAsia" w:hAnsiTheme="minorEastAsia" w:eastAsiaTheme="minorEastAsia" w:cstheme="minorEastAsia"/>
              <w:bCs/>
              <w:i w:val="0"/>
              <w:iCs w:val="0"/>
              <w:caps w:val="0"/>
              <w:spacing w:val="0"/>
              <w:szCs w:val="24"/>
              <w:shd w:val="clear" w:fill="FFFFFF"/>
            </w:rPr>
            <w:t xml:space="preserve">(2) </w:t>
          </w:r>
          <w:r>
            <w:rPr>
              <w:rFonts w:hint="eastAsia" w:asciiTheme="minorEastAsia" w:hAnsiTheme="minorEastAsia" w:eastAsiaTheme="minorEastAsia" w:cstheme="minorEastAsia"/>
              <w:bCs/>
              <w:i w:val="0"/>
              <w:iCs w:val="0"/>
              <w:caps w:val="0"/>
              <w:spacing w:val="0"/>
              <w:szCs w:val="24"/>
              <w:shd w:val="clear" w:fill="FFFFFF"/>
            </w:rPr>
            <w:t>常见不良事件类型</w:t>
          </w:r>
          <w:r>
            <w:tab/>
          </w:r>
          <w:r>
            <w:fldChar w:fldCharType="begin"/>
          </w:r>
          <w:r>
            <w:instrText xml:space="preserve"> PAGEREF _Toc15907 \h </w:instrText>
          </w:r>
          <w:r>
            <w:fldChar w:fldCharType="separate"/>
          </w:r>
          <w:r>
            <w:t>6</w:t>
          </w:r>
          <w:r>
            <w:fldChar w:fldCharType="end"/>
          </w:r>
          <w:r>
            <w:rPr>
              <w:rFonts w:hint="eastAsia" w:asciiTheme="minorEastAsia" w:hAnsiTheme="minorEastAsia" w:eastAsiaTheme="minorEastAsia" w:cstheme="minorEastAsia"/>
              <w:bCs/>
              <w:szCs w:val="28"/>
            </w:rPr>
            <w:fldChar w:fldCharType="end"/>
          </w:r>
        </w:p>
        <w:p w14:paraId="2FE26644">
          <w:pPr>
            <w:pStyle w:val="13"/>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_Toc2622 </w:instrText>
          </w:r>
          <w:r>
            <w:rPr>
              <w:rFonts w:hint="eastAsia" w:asciiTheme="minorEastAsia" w:hAnsiTheme="minorEastAsia" w:eastAsiaTheme="minorEastAsia" w:cstheme="minorEastAsia"/>
              <w:bCs/>
              <w:szCs w:val="28"/>
            </w:rPr>
            <w:fldChar w:fldCharType="separate"/>
          </w:r>
          <w:r>
            <w:rPr>
              <w:rFonts w:hint="eastAsia" w:asciiTheme="minorEastAsia" w:hAnsiTheme="minorEastAsia" w:eastAsiaTheme="minorEastAsia" w:cstheme="minorEastAsia"/>
              <w:bCs/>
              <w:i w:val="0"/>
              <w:iCs w:val="0"/>
              <w:caps w:val="0"/>
              <w:spacing w:val="0"/>
              <w:szCs w:val="24"/>
              <w:shd w:val="clear" w:fill="FFFFFF"/>
              <w:lang w:val="en-US" w:eastAsia="zh-CN"/>
            </w:rPr>
            <w:t>4.7.2</w:t>
          </w:r>
          <w:r>
            <w:rPr>
              <w:rFonts w:hint="eastAsia" w:asciiTheme="minorEastAsia" w:hAnsiTheme="minorEastAsia" w:eastAsiaTheme="minorEastAsia" w:cstheme="minorEastAsia"/>
              <w:bCs/>
              <w:i w:val="0"/>
              <w:iCs w:val="0"/>
              <w:caps w:val="0"/>
              <w:spacing w:val="0"/>
              <w:szCs w:val="24"/>
              <w:shd w:val="clear" w:fill="FFFFFF"/>
            </w:rPr>
            <w:t xml:space="preserve"> 文献分析结果</w:t>
          </w:r>
          <w:r>
            <w:tab/>
          </w:r>
          <w:r>
            <w:fldChar w:fldCharType="begin"/>
          </w:r>
          <w:r>
            <w:instrText xml:space="preserve"> PAGEREF _Toc2622 \h </w:instrText>
          </w:r>
          <w:r>
            <w:fldChar w:fldCharType="separate"/>
          </w:r>
          <w:r>
            <w:t>6</w:t>
          </w:r>
          <w:r>
            <w:fldChar w:fldCharType="end"/>
          </w:r>
          <w:r>
            <w:rPr>
              <w:rFonts w:hint="eastAsia" w:asciiTheme="minorEastAsia" w:hAnsiTheme="minorEastAsia" w:eastAsiaTheme="minorEastAsia" w:cstheme="minorEastAsia"/>
              <w:bCs/>
              <w:szCs w:val="28"/>
            </w:rPr>
            <w:fldChar w:fldCharType="end"/>
          </w:r>
        </w:p>
        <w:p w14:paraId="1FD768C1">
          <w:pPr>
            <w:pStyle w:val="16"/>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_Toc3563 </w:instrText>
          </w:r>
          <w:r>
            <w:rPr>
              <w:rFonts w:hint="eastAsia" w:asciiTheme="minorEastAsia" w:hAnsiTheme="minorEastAsia" w:eastAsiaTheme="minorEastAsia" w:cstheme="minorEastAsia"/>
              <w:bCs/>
              <w:szCs w:val="28"/>
            </w:rPr>
            <w:fldChar w:fldCharType="separate"/>
          </w:r>
          <w:r>
            <w:rPr>
              <w:rFonts w:hint="default"/>
            </w:rPr>
            <w:t xml:space="preserve">5. </w:t>
          </w:r>
          <w:r>
            <w:rPr>
              <w:rFonts w:hint="eastAsia"/>
            </w:rPr>
            <w:t>使用</w:t>
          </w:r>
          <w:r>
            <w:t>风险管理</w:t>
          </w:r>
          <w:r>
            <w:tab/>
          </w:r>
          <w:r>
            <w:fldChar w:fldCharType="begin"/>
          </w:r>
          <w:r>
            <w:instrText xml:space="preserve"> PAGEREF _Toc3563 \h </w:instrText>
          </w:r>
          <w:r>
            <w:fldChar w:fldCharType="separate"/>
          </w:r>
          <w:r>
            <w:t>7</w:t>
          </w:r>
          <w:r>
            <w:fldChar w:fldCharType="end"/>
          </w:r>
          <w:r>
            <w:rPr>
              <w:rFonts w:hint="eastAsia" w:asciiTheme="minorEastAsia" w:hAnsiTheme="minorEastAsia" w:eastAsiaTheme="minorEastAsia" w:cstheme="minorEastAsia"/>
              <w:bCs/>
              <w:szCs w:val="28"/>
            </w:rPr>
            <w:fldChar w:fldCharType="end"/>
          </w:r>
        </w:p>
        <w:p w14:paraId="25296C17">
          <w:pPr>
            <w:pStyle w:val="16"/>
            <w:tabs>
              <w:tab w:val="right" w:leader="dot" w:pos="8788"/>
            </w:tabs>
          </w:pPr>
          <w:r>
            <w:rPr>
              <w:rFonts w:hint="eastAsia" w:asciiTheme="minorEastAsia" w:hAnsiTheme="minorEastAsia" w:eastAsiaTheme="minorEastAsia" w:cstheme="minorEastAsia"/>
              <w:bCs/>
              <w:szCs w:val="28"/>
            </w:rPr>
            <w:fldChar w:fldCharType="begin"/>
          </w:r>
          <w:r>
            <w:rPr>
              <w:rFonts w:hint="eastAsia" w:asciiTheme="minorEastAsia" w:hAnsiTheme="minorEastAsia" w:eastAsiaTheme="minorEastAsia" w:cstheme="minorEastAsia"/>
              <w:bCs/>
              <w:szCs w:val="28"/>
            </w:rPr>
            <w:instrText xml:space="preserve"> HYPERLINK \l _Toc1753 </w:instrText>
          </w:r>
          <w:r>
            <w:rPr>
              <w:rFonts w:hint="eastAsia" w:asciiTheme="minorEastAsia" w:hAnsiTheme="minorEastAsia" w:eastAsiaTheme="minorEastAsia" w:cstheme="minorEastAsia"/>
              <w:bCs/>
              <w:szCs w:val="28"/>
            </w:rPr>
            <w:fldChar w:fldCharType="separate"/>
          </w:r>
          <w:r>
            <w:rPr>
              <w:rFonts w:hint="default"/>
            </w:rPr>
            <w:t xml:space="preserve">6. </w:t>
          </w:r>
          <w:r>
            <w:t>结论</w:t>
          </w:r>
          <w:r>
            <w:tab/>
          </w:r>
          <w:r>
            <w:fldChar w:fldCharType="begin"/>
          </w:r>
          <w:r>
            <w:instrText xml:space="preserve"> PAGEREF _Toc1753 \h </w:instrText>
          </w:r>
          <w:r>
            <w:fldChar w:fldCharType="separate"/>
          </w:r>
          <w:r>
            <w:t>8</w:t>
          </w:r>
          <w:r>
            <w:fldChar w:fldCharType="end"/>
          </w:r>
          <w:r>
            <w:rPr>
              <w:rFonts w:hint="eastAsia" w:asciiTheme="minorEastAsia" w:hAnsiTheme="minorEastAsia" w:eastAsiaTheme="minorEastAsia" w:cstheme="minorEastAsia"/>
              <w:bCs/>
              <w:szCs w:val="28"/>
            </w:rPr>
            <w:fldChar w:fldCharType="end"/>
          </w:r>
        </w:p>
        <w:p w14:paraId="5DCCF0F9">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rPr>
          </w:pPr>
          <w:r>
            <w:rPr>
              <w:rFonts w:hint="eastAsia" w:asciiTheme="minorEastAsia" w:hAnsiTheme="minorEastAsia" w:eastAsiaTheme="minorEastAsia" w:cstheme="minorEastAsia"/>
              <w:bCs/>
              <w:szCs w:val="28"/>
            </w:rPr>
            <w:fldChar w:fldCharType="end"/>
          </w:r>
        </w:p>
      </w:sdtContent>
    </w:sdt>
    <w:p w14:paraId="004FFAA9">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rPr>
        <w:sectPr>
          <w:footerReference r:id="rId4" w:type="default"/>
          <w:pgSz w:w="11906" w:h="16838"/>
          <w:pgMar w:top="1701" w:right="1417" w:bottom="1417" w:left="1701" w:header="1417" w:footer="1134" w:gutter="0"/>
          <w:pgBorders>
            <w:top w:val="none" w:sz="0" w:space="0"/>
            <w:left w:val="none" w:sz="0" w:space="0"/>
            <w:bottom w:val="none" w:sz="0" w:space="0"/>
            <w:right w:val="none" w:sz="0" w:space="0"/>
          </w:pgBorders>
          <w:pgNumType w:fmt="decimal" w:start="2"/>
          <w:cols w:space="425" w:num="1"/>
          <w:docGrid w:type="lines" w:linePitch="312" w:charSpace="0"/>
        </w:sectPr>
      </w:pPr>
    </w:p>
    <w:p w14:paraId="527F5CCA">
      <w:pPr>
        <w:pStyle w:val="3"/>
        <w:bidi w:val="0"/>
      </w:pPr>
      <w:bookmarkStart w:id="0" w:name="_Toc9292"/>
      <w:r>
        <w:t>基本信息</w:t>
      </w:r>
      <w:bookmarkEnd w:id="0"/>
    </w:p>
    <w:p w14:paraId="19705217">
      <w:pPr>
        <w:bidi w:val="0"/>
        <w:rPr>
          <w:rFonts w:hint="default"/>
          <w:sz w:val="28"/>
          <w:szCs w:val="36"/>
          <w:lang w:val="en-US" w:eastAsia="zh-CN"/>
        </w:rPr>
      </w:pPr>
      <w:r>
        <w:rPr>
          <w:rFonts w:hint="eastAsia"/>
          <w:sz w:val="28"/>
          <w:szCs w:val="36"/>
        </w:rPr>
        <w:t>申报医疗器械的名称</w:t>
      </w:r>
      <w:r>
        <w:rPr>
          <w:rFonts w:hint="eastAsia"/>
          <w:sz w:val="28"/>
          <w:szCs w:val="36"/>
          <w:lang w:eastAsia="zh-CN"/>
        </w:rPr>
        <w:t>：</w:t>
      </w:r>
      <w:r>
        <w:rPr>
          <w:rFonts w:hint="eastAsia"/>
          <w:sz w:val="28"/>
          <w:szCs w:val="36"/>
          <w:lang w:val="en-US" w:eastAsia="zh-CN"/>
        </w:rPr>
        <w:t>全自动精浆生化分析仪</w:t>
      </w:r>
    </w:p>
    <w:p w14:paraId="41860B80">
      <w:pPr>
        <w:bidi w:val="0"/>
        <w:rPr>
          <w:rFonts w:hint="eastAsia"/>
          <w:sz w:val="28"/>
          <w:szCs w:val="36"/>
        </w:rPr>
      </w:pPr>
      <w:r>
        <w:rPr>
          <w:rFonts w:hint="eastAsia"/>
          <w:sz w:val="28"/>
          <w:szCs w:val="36"/>
        </w:rPr>
        <w:t>型号规格</w:t>
      </w:r>
      <w:r>
        <w:rPr>
          <w:rFonts w:hint="eastAsia"/>
          <w:sz w:val="28"/>
          <w:szCs w:val="36"/>
          <w:lang w:eastAsia="zh-CN"/>
        </w:rPr>
        <w:t>：</w:t>
      </w:r>
      <w:r>
        <w:rPr>
          <w:rFonts w:hint="eastAsia"/>
          <w:sz w:val="28"/>
          <w:szCs w:val="36"/>
          <w:lang w:val="en-US" w:eastAsia="zh-CN"/>
        </w:rPr>
        <w:t>BEION T200A</w:t>
      </w:r>
      <w:r>
        <w:rPr>
          <w:rFonts w:hint="eastAsia"/>
          <w:sz w:val="28"/>
          <w:szCs w:val="36"/>
        </w:rPr>
        <w:t>、</w:t>
      </w:r>
      <w:r>
        <w:rPr>
          <w:rFonts w:hint="eastAsia"/>
          <w:sz w:val="28"/>
          <w:szCs w:val="36"/>
          <w:lang w:val="en-US" w:eastAsia="zh-CN"/>
        </w:rPr>
        <w:t>BEION T200B</w:t>
      </w:r>
    </w:p>
    <w:p w14:paraId="5972E239">
      <w:pPr>
        <w:bidi w:val="0"/>
        <w:rPr>
          <w:rFonts w:hint="eastAsia"/>
          <w:sz w:val="28"/>
          <w:szCs w:val="36"/>
          <w:lang w:val="en-US" w:eastAsia="zh-CN"/>
        </w:rPr>
      </w:pPr>
      <w:r>
        <w:rPr>
          <w:rFonts w:hint="eastAsia"/>
          <w:sz w:val="28"/>
          <w:szCs w:val="36"/>
        </w:rPr>
        <w:t>预期用途</w:t>
      </w:r>
      <w:r>
        <w:rPr>
          <w:rFonts w:hint="eastAsia"/>
          <w:sz w:val="28"/>
          <w:szCs w:val="36"/>
          <w:lang w:val="en-US" w:eastAsia="zh-CN"/>
        </w:rPr>
        <w:t>:与适配试剂配合使用，用于人体精浆样本中待测物的定量分析。</w:t>
      </w:r>
    </w:p>
    <w:p w14:paraId="467D3D3D">
      <w:pPr>
        <w:bidi w:val="0"/>
        <w:rPr>
          <w:rFonts w:hint="default"/>
          <w:sz w:val="28"/>
          <w:szCs w:val="36"/>
          <w:lang w:val="en-US" w:eastAsia="zh-CN"/>
        </w:rPr>
      </w:pPr>
      <w:r>
        <w:rPr>
          <w:rFonts w:hint="eastAsia"/>
          <w:sz w:val="28"/>
          <w:szCs w:val="36"/>
        </w:rPr>
        <w:t>适用人群</w:t>
      </w:r>
      <w:r>
        <w:rPr>
          <w:rFonts w:hint="eastAsia"/>
          <w:sz w:val="28"/>
          <w:szCs w:val="36"/>
          <w:lang w:val="en-US" w:eastAsia="zh-CN"/>
        </w:rPr>
        <w:t>:主要使用人群为医疗机构经培训的专业技术人员</w:t>
      </w:r>
    </w:p>
    <w:p w14:paraId="31E4B556">
      <w:pPr>
        <w:bidi w:val="0"/>
        <w:rPr>
          <w:rFonts w:hint="eastAsia"/>
          <w:sz w:val="28"/>
          <w:szCs w:val="36"/>
          <w:lang w:eastAsia="zh-CN"/>
        </w:rPr>
      </w:pPr>
      <w:r>
        <w:rPr>
          <w:rFonts w:hint="eastAsia"/>
          <w:sz w:val="28"/>
          <w:szCs w:val="36"/>
        </w:rPr>
        <w:t>结构组成</w:t>
      </w:r>
      <w:r>
        <w:rPr>
          <w:rFonts w:hint="eastAsia"/>
          <w:sz w:val="28"/>
          <w:szCs w:val="36"/>
          <w:lang w:val="en-US" w:eastAsia="zh-CN"/>
        </w:rPr>
        <w:t>:本产品由加样机构、反应仓、光度计及全自动生化分析仪软件（发布版本：V1.00）组成。</w:t>
      </w:r>
    </w:p>
    <w:p w14:paraId="4FAC28E4">
      <w:pPr>
        <w:pStyle w:val="3"/>
        <w:bidi w:val="0"/>
      </w:pPr>
      <w:bookmarkStart w:id="1" w:name="_Toc8111"/>
      <w:r>
        <w:t>使用风险级别</w:t>
      </w:r>
      <w:bookmarkEnd w:id="1"/>
    </w:p>
    <w:p w14:paraId="61F901E3">
      <w:pPr>
        <w:bidi w:val="0"/>
        <w:rPr>
          <w:rFonts w:hint="eastAsia"/>
          <w:sz w:val="28"/>
          <w:szCs w:val="36"/>
        </w:rPr>
      </w:pPr>
      <w:r>
        <w:rPr>
          <w:rFonts w:hint="eastAsia"/>
          <w:sz w:val="28"/>
          <w:szCs w:val="36"/>
        </w:rPr>
        <w:t xml:space="preserve">是否列入《高使用风险产品试行目录》□是 </w:t>
      </w:r>
      <w:r>
        <w:rPr>
          <w:rFonts w:hint="eastAsia"/>
          <w:sz w:val="28"/>
          <w:szCs w:val="36"/>
          <w:lang w:eastAsia="zh-CN"/>
        </w:rPr>
        <w:t>☑</w:t>
      </w:r>
      <w:r>
        <w:rPr>
          <w:rFonts w:hint="eastAsia"/>
          <w:sz w:val="28"/>
          <w:szCs w:val="36"/>
        </w:rPr>
        <w:t>否</w:t>
      </w:r>
    </w:p>
    <w:p w14:paraId="3CA58C6C">
      <w:pPr>
        <w:bidi w:val="0"/>
        <w:rPr>
          <w:rFonts w:hint="eastAsia"/>
          <w:sz w:val="28"/>
          <w:szCs w:val="36"/>
        </w:rPr>
      </w:pPr>
      <w:r>
        <w:rPr>
          <w:rFonts w:hint="eastAsia"/>
          <w:sz w:val="28"/>
          <w:szCs w:val="36"/>
        </w:rPr>
        <w:t xml:space="preserve">风险等级：□高 □中 </w:t>
      </w:r>
      <w:r>
        <w:rPr>
          <w:rFonts w:hint="eastAsia"/>
          <w:sz w:val="28"/>
          <w:szCs w:val="36"/>
          <w:lang w:eastAsia="zh-CN"/>
        </w:rPr>
        <w:t>☑</w:t>
      </w:r>
      <w:r>
        <w:rPr>
          <w:rFonts w:hint="eastAsia"/>
          <w:sz w:val="28"/>
          <w:szCs w:val="36"/>
        </w:rPr>
        <w:t>低（勾选）</w:t>
      </w:r>
    </w:p>
    <w:p w14:paraId="72C33E92">
      <w:pPr>
        <w:bidi w:val="0"/>
        <w:rPr>
          <w:rFonts w:hint="eastAsia"/>
          <w:sz w:val="28"/>
          <w:szCs w:val="36"/>
        </w:rPr>
      </w:pPr>
      <w:r>
        <w:rPr>
          <w:rFonts w:hint="eastAsia"/>
          <w:sz w:val="28"/>
          <w:szCs w:val="36"/>
        </w:rPr>
        <w:t>判定理由：全自动</w:t>
      </w:r>
      <w:r>
        <w:rPr>
          <w:rFonts w:hint="eastAsia"/>
          <w:sz w:val="28"/>
          <w:szCs w:val="36"/>
          <w:lang w:val="en-US" w:eastAsia="zh-CN"/>
        </w:rPr>
        <w:t>精浆</w:t>
      </w:r>
      <w:r>
        <w:rPr>
          <w:rFonts w:hint="eastAsia"/>
          <w:sz w:val="28"/>
          <w:szCs w:val="36"/>
        </w:rPr>
        <w:t>生化分析仪</w:t>
      </w:r>
      <w:r>
        <w:rPr>
          <w:rFonts w:hint="eastAsia"/>
          <w:sz w:val="28"/>
          <w:szCs w:val="36"/>
          <w:lang w:eastAsia="zh-CN"/>
        </w:rPr>
        <w:t>，</w:t>
      </w:r>
      <w:r>
        <w:rPr>
          <w:rFonts w:hint="eastAsia"/>
          <w:sz w:val="28"/>
          <w:szCs w:val="36"/>
          <w:lang w:val="en-US" w:eastAsia="zh-CN"/>
        </w:rPr>
        <w:t>第二类医疗器械。</w:t>
      </w:r>
      <w:r>
        <w:rPr>
          <w:rFonts w:hint="eastAsia"/>
          <w:sz w:val="28"/>
          <w:szCs w:val="36"/>
        </w:rPr>
        <w:t>用于临床检验，错误使用可能导致检验结果不准确，影响临床诊断和治疗决策。但通常不会直接对患者造成即时伤害。</w:t>
      </w:r>
    </w:p>
    <w:p w14:paraId="07DF25B4">
      <w:pPr>
        <w:pStyle w:val="3"/>
        <w:bidi w:val="0"/>
      </w:pPr>
      <w:bookmarkStart w:id="2" w:name="_Toc29103"/>
      <w:r>
        <w:t>核心要素</w:t>
      </w:r>
      <w:bookmarkEnd w:id="2"/>
    </w:p>
    <w:p w14:paraId="58BCCC0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5" w:beforeAutospacing="0" w:after="90" w:afterAutospacing="0" w:line="450" w:lineRule="atLeast"/>
        <w:ind w:left="0" w:right="0" w:firstLine="0"/>
        <w:jc w:val="left"/>
        <w:rPr>
          <w:rFonts w:hint="eastAsia" w:eastAsia="宋体" w:asciiTheme="minorAscii" w:hAnsiTheme="minorAscii" w:cstheme="minorBidi"/>
          <w:kern w:val="44"/>
          <w:sz w:val="28"/>
          <w:szCs w:val="28"/>
          <w:lang w:val="en-US" w:eastAsia="zh-CN" w:bidi="ar-SA"/>
        </w:rPr>
      </w:pPr>
      <w:bookmarkStart w:id="3" w:name="_Toc31654"/>
      <w:r>
        <w:rPr>
          <w:rFonts w:hint="default" w:eastAsia="宋体" w:asciiTheme="minorAscii" w:hAnsiTheme="minorAscii" w:cstheme="minorBidi"/>
          <w:kern w:val="44"/>
          <w:sz w:val="28"/>
          <w:szCs w:val="28"/>
          <w:lang w:val="en-US" w:eastAsia="zh-CN" w:bidi="ar-SA"/>
        </w:rPr>
        <w:t>医疗器械用户</w:t>
      </w:r>
      <w:bookmarkEnd w:id="3"/>
    </w:p>
    <w:p w14:paraId="162F9C5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eastAsia="宋体"/>
          <w:sz w:val="28"/>
          <w:szCs w:val="28"/>
        </w:rPr>
      </w:pPr>
      <w:r>
        <w:rPr>
          <w:rFonts w:hint="default" w:ascii="Arial" w:hAnsi="Arial" w:eastAsia="宋体" w:cs="Arial"/>
          <w:i w:val="0"/>
          <w:iCs w:val="0"/>
          <w:caps w:val="0"/>
          <w:color w:val="333333"/>
          <w:spacing w:val="0"/>
          <w:sz w:val="28"/>
          <w:szCs w:val="28"/>
          <w:shd w:val="clear" w:fill="FFFFFF"/>
        </w:rPr>
        <w:t>主要用户：</w:t>
      </w:r>
      <w:r>
        <w:rPr>
          <w:rFonts w:hint="eastAsia" w:ascii="Arial" w:hAnsi="Arial" w:eastAsia="宋体" w:cs="Arial"/>
          <w:i w:val="0"/>
          <w:iCs w:val="0"/>
          <w:caps w:val="0"/>
          <w:color w:val="333333"/>
          <w:spacing w:val="0"/>
          <w:sz w:val="28"/>
          <w:szCs w:val="28"/>
          <w:shd w:val="clear" w:fill="FFFFFF"/>
          <w:lang w:val="en-US" w:eastAsia="zh-CN"/>
        </w:rPr>
        <w:t>医疗机构专业</w:t>
      </w:r>
      <w:r>
        <w:rPr>
          <w:rFonts w:hint="default" w:ascii="Arial" w:hAnsi="Arial" w:eastAsia="宋体" w:cs="Arial"/>
          <w:i w:val="0"/>
          <w:iCs w:val="0"/>
          <w:caps w:val="0"/>
          <w:color w:val="333333"/>
          <w:spacing w:val="0"/>
          <w:sz w:val="28"/>
          <w:szCs w:val="28"/>
          <w:shd w:val="clear" w:fill="FFFFFF"/>
        </w:rPr>
        <w:t>技术人员</w:t>
      </w:r>
    </w:p>
    <w:p w14:paraId="73784AF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eastAsia="宋体"/>
          <w:sz w:val="28"/>
          <w:szCs w:val="28"/>
        </w:rPr>
      </w:pPr>
      <w:r>
        <w:rPr>
          <w:rFonts w:hint="default" w:ascii="Arial" w:hAnsi="Arial" w:eastAsia="宋体" w:cs="Arial"/>
          <w:i w:val="0"/>
          <w:iCs w:val="0"/>
          <w:caps w:val="0"/>
          <w:color w:val="333333"/>
          <w:spacing w:val="0"/>
          <w:sz w:val="28"/>
          <w:szCs w:val="28"/>
          <w:shd w:val="clear" w:fill="FFFFFF"/>
        </w:rPr>
        <w:t>辅助用户：设备维护人员</w:t>
      </w:r>
    </w:p>
    <w:p w14:paraId="5BFADC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0" w:right="0" w:firstLine="0"/>
        <w:jc w:val="left"/>
        <w:rPr>
          <w:rFonts w:hint="default" w:eastAsia="宋体" w:asciiTheme="minorAscii" w:hAnsiTheme="minorAscii" w:cstheme="minorBidi"/>
          <w:kern w:val="44"/>
          <w:sz w:val="28"/>
          <w:szCs w:val="28"/>
          <w:lang w:val="en-US" w:eastAsia="zh-CN" w:bidi="ar-SA"/>
        </w:rPr>
      </w:pPr>
      <w:bookmarkStart w:id="4" w:name="_Toc14475"/>
      <w:r>
        <w:rPr>
          <w:rFonts w:hint="default" w:eastAsia="宋体" w:asciiTheme="minorAscii" w:hAnsiTheme="minorAscii" w:cstheme="minorBidi"/>
          <w:kern w:val="44"/>
          <w:sz w:val="28"/>
          <w:szCs w:val="28"/>
          <w:lang w:val="en-US" w:eastAsia="zh-CN" w:bidi="ar-SA"/>
        </w:rPr>
        <w:t>使用场景</w:t>
      </w:r>
      <w:bookmarkEnd w:id="4"/>
    </w:p>
    <w:p w14:paraId="37B08F1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eastAsia="宋体" w:asciiTheme="minorAscii" w:hAnsiTheme="minorAscii" w:cstheme="minorBidi"/>
          <w:kern w:val="44"/>
          <w:sz w:val="28"/>
          <w:szCs w:val="28"/>
          <w:lang w:val="en-US" w:eastAsia="zh-CN" w:bidi="ar-SA"/>
        </w:rPr>
      </w:pPr>
      <w:r>
        <w:rPr>
          <w:rFonts w:hint="default" w:eastAsia="宋体" w:asciiTheme="minorAscii" w:hAnsiTheme="minorAscii" w:cstheme="minorBidi"/>
          <w:kern w:val="44"/>
          <w:sz w:val="28"/>
          <w:szCs w:val="28"/>
          <w:lang w:val="en-US" w:eastAsia="zh-CN" w:bidi="ar-SA"/>
        </w:rPr>
        <w:t>‌使用场所‌：医疗机构检验科</w:t>
      </w:r>
    </w:p>
    <w:p w14:paraId="61B2502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eastAsia="宋体" w:asciiTheme="minorAscii" w:hAnsiTheme="minorAscii" w:cstheme="minorBidi"/>
          <w:kern w:val="44"/>
          <w:sz w:val="28"/>
          <w:szCs w:val="28"/>
          <w:lang w:val="en-US" w:eastAsia="zh-CN" w:bidi="ar-SA"/>
        </w:rPr>
      </w:pPr>
      <w:r>
        <w:rPr>
          <w:rFonts w:hint="default" w:eastAsia="宋体" w:asciiTheme="minorAscii" w:hAnsiTheme="minorAscii" w:cstheme="minorBidi"/>
          <w:kern w:val="44"/>
          <w:sz w:val="28"/>
          <w:szCs w:val="28"/>
          <w:lang w:val="en-US" w:eastAsia="zh-CN" w:bidi="ar-SA"/>
        </w:rPr>
        <w:t>‌环境条件‌：</w:t>
      </w:r>
    </w:p>
    <w:p w14:paraId="56EC5F0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8"/>
          <w:szCs w:val="28"/>
          <w:shd w:val="clear" w:fill="FFFFFF"/>
        </w:rPr>
      </w:pPr>
      <w:r>
        <w:rPr>
          <w:rFonts w:hint="default" w:ascii="Arial" w:hAnsi="Arial" w:eastAsia="宋体" w:cs="Arial"/>
          <w:i w:val="0"/>
          <w:iCs w:val="0"/>
          <w:caps w:val="0"/>
          <w:color w:val="333333"/>
          <w:spacing w:val="0"/>
          <w:sz w:val="28"/>
          <w:szCs w:val="28"/>
          <w:shd w:val="clear" w:fill="FFFFFF"/>
        </w:rPr>
        <w:t>环境温度：10℃～30℃；</w:t>
      </w:r>
    </w:p>
    <w:p w14:paraId="789D02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8"/>
          <w:szCs w:val="28"/>
          <w:shd w:val="clear" w:fill="FFFFFF"/>
        </w:rPr>
      </w:pPr>
      <w:r>
        <w:rPr>
          <w:rFonts w:hint="default" w:ascii="Arial" w:hAnsi="Arial" w:eastAsia="宋体" w:cs="Arial"/>
          <w:i w:val="0"/>
          <w:iCs w:val="0"/>
          <w:caps w:val="0"/>
          <w:color w:val="333333"/>
          <w:spacing w:val="0"/>
          <w:sz w:val="28"/>
          <w:szCs w:val="28"/>
          <w:shd w:val="clear" w:fill="FFFFFF"/>
        </w:rPr>
        <w:t xml:space="preserve">相对湿度：10%～80%；  </w:t>
      </w:r>
    </w:p>
    <w:p w14:paraId="682EC98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0" w:right="0" w:firstLine="0"/>
        <w:jc w:val="left"/>
        <w:rPr>
          <w:rFonts w:hint="default" w:eastAsia="宋体" w:asciiTheme="minorAscii" w:hAnsiTheme="minorAscii" w:cstheme="minorBidi"/>
          <w:kern w:val="44"/>
          <w:sz w:val="28"/>
          <w:szCs w:val="28"/>
          <w:lang w:val="en-US" w:eastAsia="zh-CN" w:bidi="ar-SA"/>
        </w:rPr>
      </w:pPr>
      <w:bookmarkStart w:id="5" w:name="_Toc8554"/>
      <w:r>
        <w:rPr>
          <w:rFonts w:hint="default" w:eastAsia="宋体" w:asciiTheme="minorAscii" w:hAnsiTheme="minorAscii" w:cstheme="minorBidi"/>
          <w:kern w:val="44"/>
          <w:sz w:val="28"/>
          <w:szCs w:val="28"/>
          <w:lang w:val="en-US" w:eastAsia="zh-CN" w:bidi="ar-SA"/>
        </w:rPr>
        <w:t>用户界面</w:t>
      </w:r>
      <w:bookmarkEnd w:id="5"/>
    </w:p>
    <w:p w14:paraId="728E05B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eastAsia="宋体"/>
        </w:rPr>
      </w:pPr>
      <w:r>
        <w:rPr>
          <w:rFonts w:hint="default" w:ascii="Arial" w:hAnsi="Arial" w:eastAsia="宋体" w:cs="Arial"/>
          <w:i w:val="0"/>
          <w:iCs w:val="0"/>
          <w:caps w:val="0"/>
          <w:color w:val="333333"/>
          <w:spacing w:val="0"/>
          <w:sz w:val="24"/>
          <w:szCs w:val="24"/>
          <w:shd w:val="clear" w:fill="FFFFFF"/>
        </w:rPr>
        <w:t>物理界面：控制面板、显示屏、样品/试剂装载区</w:t>
      </w:r>
    </w:p>
    <w:p w14:paraId="7AD0EE2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eastAsia="宋体"/>
        </w:rPr>
      </w:pPr>
      <w:r>
        <w:rPr>
          <w:rFonts w:hint="default" w:ascii="Arial" w:hAnsi="Arial" w:eastAsia="宋体" w:cs="Arial"/>
          <w:i w:val="0"/>
          <w:iCs w:val="0"/>
          <w:caps w:val="0"/>
          <w:color w:val="333333"/>
          <w:spacing w:val="0"/>
          <w:sz w:val="24"/>
          <w:szCs w:val="24"/>
          <w:shd w:val="clear" w:fill="FFFFFF"/>
        </w:rPr>
        <w:t>软件界面：操作软件、参数设置界面</w:t>
      </w:r>
    </w:p>
    <w:p w14:paraId="0110824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eastAsia="宋体"/>
        </w:rPr>
      </w:pPr>
      <w:r>
        <w:rPr>
          <w:rFonts w:hint="default" w:ascii="Arial" w:hAnsi="Arial" w:eastAsia="宋体" w:cs="Arial"/>
          <w:i w:val="0"/>
          <w:iCs w:val="0"/>
          <w:caps w:val="0"/>
          <w:color w:val="333333"/>
          <w:spacing w:val="0"/>
          <w:sz w:val="24"/>
          <w:szCs w:val="24"/>
          <w:shd w:val="clear" w:fill="FFFFFF"/>
        </w:rPr>
        <w:t>文档界面：操作手册、维护指南</w:t>
      </w:r>
    </w:p>
    <w:p w14:paraId="4DCEF2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0" w:right="0" w:firstLine="0"/>
        <w:jc w:val="left"/>
        <w:rPr>
          <w:rFonts w:hint="default" w:eastAsia="宋体" w:asciiTheme="minorAscii" w:hAnsiTheme="minorAscii" w:cstheme="minorBidi"/>
          <w:kern w:val="44"/>
          <w:sz w:val="28"/>
          <w:szCs w:val="28"/>
          <w:lang w:val="en-US" w:eastAsia="zh-CN" w:bidi="ar-SA"/>
        </w:rPr>
      </w:pPr>
      <w:bookmarkStart w:id="6" w:name="_Toc14418"/>
      <w:r>
        <w:rPr>
          <w:rFonts w:hint="eastAsia" w:eastAsia="宋体" w:asciiTheme="minorAscii" w:hAnsiTheme="minorAscii" w:cstheme="minorBidi"/>
          <w:kern w:val="44"/>
          <w:sz w:val="28"/>
          <w:szCs w:val="28"/>
          <w:lang w:val="en-US" w:eastAsia="zh-CN" w:bidi="ar-SA"/>
        </w:rPr>
        <w:t>操作任务列表</w:t>
      </w:r>
      <w:bookmarkEnd w:id="6"/>
    </w:p>
    <w:tbl>
      <w:tblPr>
        <w:tblStyle w:val="18"/>
        <w:tblW w:w="900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80" w:type="dxa"/>
          <w:left w:w="128" w:type="dxa"/>
          <w:bottom w:w="80" w:type="dxa"/>
          <w:right w:w="128" w:type="dxa"/>
        </w:tblCellMar>
      </w:tblPr>
      <w:tblGrid>
        <w:gridCol w:w="1571"/>
        <w:gridCol w:w="1539"/>
        <w:gridCol w:w="5894"/>
      </w:tblGrid>
      <w:tr w14:paraId="62E52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CellSpacing w:w="15" w:type="dxa"/>
          <w:jc w:val="center"/>
        </w:trPr>
        <w:tc>
          <w:tcPr>
            <w:tcW w:w="1526" w:type="dxa"/>
            <w:tcBorders>
              <w:top w:val="single" w:color="000000" w:sz="4" w:space="0"/>
              <w:left w:val="nil"/>
              <w:bottom w:val="nil"/>
              <w:right w:val="nil"/>
              <w:tl2br w:val="nil"/>
            </w:tcBorders>
            <w:shd w:val="clear" w:color="auto" w:fill="FFFFFF"/>
            <w:noWrap/>
            <w:vAlign w:val="center"/>
          </w:tcPr>
          <w:p w14:paraId="1D2B147B">
            <w:pPr>
              <w:keepNext w:val="0"/>
              <w:keepLines w:val="0"/>
              <w:widowControl/>
              <w:suppressLineNumbers w:val="0"/>
              <w:snapToGrid w:val="0"/>
              <w:spacing w:before="0" w:beforeAutospacing="0" w:after="0" w:afterAutospacing="0"/>
              <w:ind w:left="0" w:right="0"/>
              <w:jc w:val="center"/>
              <w:rPr>
                <w:rFonts w:ascii="Arial" w:hAnsi="Arial" w:eastAsia="宋体" w:cs="Arial"/>
                <w:b w:val="0"/>
                <w:i w:val="0"/>
                <w:iCs w:val="0"/>
                <w:caps w:val="0"/>
                <w:color w:val="000000"/>
                <w:spacing w:val="0"/>
                <w:sz w:val="24"/>
                <w:szCs w:val="24"/>
              </w:rPr>
            </w:pPr>
            <w:r>
              <w:rPr>
                <w:rFonts w:hint="eastAsia" w:ascii="Arial" w:hAnsi="Arial" w:eastAsia="宋体" w:cs="Arial"/>
                <w:b w:val="0"/>
                <w:i w:val="0"/>
                <w:iCs w:val="0"/>
                <w:caps w:val="0"/>
                <w:color w:val="000000"/>
                <w:spacing w:val="0"/>
                <w:kern w:val="0"/>
                <w:sz w:val="24"/>
                <w:szCs w:val="24"/>
                <w:lang w:val="en-US" w:eastAsia="zh-CN" w:bidi="ar"/>
              </w:rPr>
              <w:t>任务</w:t>
            </w:r>
          </w:p>
        </w:tc>
        <w:tc>
          <w:tcPr>
            <w:tcW w:w="1509" w:type="dxa"/>
            <w:tcBorders>
              <w:top w:val="single" w:color="000000" w:sz="4" w:space="0"/>
              <w:left w:val="nil"/>
              <w:bottom w:val="nil"/>
              <w:right w:val="nil"/>
            </w:tcBorders>
            <w:shd w:val="clear" w:color="auto" w:fill="FFFFFF"/>
            <w:noWrap/>
            <w:vAlign w:val="center"/>
          </w:tcPr>
          <w:p w14:paraId="7CC24455">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eastAsia" w:ascii="Arial" w:hAnsi="Arial" w:eastAsia="宋体" w:cs="Arial"/>
                <w:b w:val="0"/>
                <w:i w:val="0"/>
                <w:iCs w:val="0"/>
                <w:caps w:val="0"/>
                <w:color w:val="000000"/>
                <w:spacing w:val="0"/>
                <w:kern w:val="0"/>
                <w:sz w:val="24"/>
                <w:szCs w:val="24"/>
                <w:lang w:val="en-US" w:eastAsia="zh-CN" w:bidi="ar"/>
              </w:rPr>
              <w:t>风险等级</w:t>
            </w:r>
          </w:p>
        </w:tc>
        <w:tc>
          <w:tcPr>
            <w:tcW w:w="5849" w:type="dxa"/>
            <w:tcBorders>
              <w:top w:val="single" w:color="000000" w:sz="4" w:space="0"/>
              <w:left w:val="nil"/>
              <w:bottom w:val="nil"/>
              <w:right w:val="nil"/>
            </w:tcBorders>
            <w:shd w:val="clear" w:color="auto" w:fill="FFFFFF"/>
            <w:noWrap/>
            <w:vAlign w:val="center"/>
          </w:tcPr>
          <w:p w14:paraId="2DA2744B">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eastAsia" w:ascii="Arial" w:hAnsi="Arial" w:eastAsia="宋体" w:cs="Arial"/>
                <w:b w:val="0"/>
                <w:i w:val="0"/>
                <w:iCs w:val="0"/>
                <w:caps w:val="0"/>
                <w:color w:val="000000"/>
                <w:spacing w:val="0"/>
                <w:kern w:val="0"/>
                <w:sz w:val="24"/>
                <w:szCs w:val="24"/>
                <w:lang w:val="en-US" w:eastAsia="zh-CN" w:bidi="ar"/>
              </w:rPr>
              <w:t>说明</w:t>
            </w:r>
          </w:p>
        </w:tc>
      </w:tr>
      <w:tr w14:paraId="0243B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1526" w:type="dxa"/>
            <w:tcBorders>
              <w:top w:val="nil"/>
              <w:left w:val="nil"/>
              <w:bottom w:val="nil"/>
              <w:right w:val="nil"/>
            </w:tcBorders>
            <w:shd w:val="clear" w:color="auto" w:fill="FFFFFF"/>
            <w:vAlign w:val="center"/>
          </w:tcPr>
          <w:p w14:paraId="48577C08">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开机准备</w:t>
            </w:r>
          </w:p>
        </w:tc>
        <w:tc>
          <w:tcPr>
            <w:tcW w:w="1509" w:type="dxa"/>
            <w:tcBorders>
              <w:top w:val="nil"/>
              <w:left w:val="nil"/>
              <w:bottom w:val="nil"/>
              <w:right w:val="nil"/>
            </w:tcBorders>
            <w:shd w:val="clear" w:color="auto" w:fill="FFFFFF"/>
            <w:vAlign w:val="center"/>
          </w:tcPr>
          <w:p w14:paraId="27FD5054">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低</w:t>
            </w:r>
          </w:p>
        </w:tc>
        <w:tc>
          <w:tcPr>
            <w:tcW w:w="5849" w:type="dxa"/>
            <w:tcBorders>
              <w:top w:val="nil"/>
              <w:left w:val="nil"/>
              <w:bottom w:val="nil"/>
              <w:right w:val="nil"/>
            </w:tcBorders>
            <w:shd w:val="clear" w:color="auto" w:fill="FFFFFF"/>
            <w:vAlign w:val="center"/>
          </w:tcPr>
          <w:p w14:paraId="07CB7843">
            <w:pPr>
              <w:keepNext w:val="0"/>
              <w:keepLines w:val="0"/>
              <w:widowControl/>
              <w:suppressLineNumbers w:val="0"/>
              <w:snapToGrid w:val="0"/>
              <w:spacing w:before="0" w:beforeAutospacing="0" w:after="0" w:afterAutospacing="0"/>
              <w:ind w:left="0" w:right="0"/>
              <w:jc w:val="both"/>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检查不全面可能导致后续操作问题</w:t>
            </w:r>
          </w:p>
        </w:tc>
      </w:tr>
      <w:tr w14:paraId="7A25A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1526" w:type="dxa"/>
            <w:tcBorders>
              <w:top w:val="nil"/>
              <w:left w:val="nil"/>
              <w:bottom w:val="nil"/>
              <w:right w:val="nil"/>
            </w:tcBorders>
            <w:shd w:val="clear" w:color="auto" w:fill="FFFFFF"/>
            <w:vAlign w:val="center"/>
          </w:tcPr>
          <w:p w14:paraId="091BFBA2">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定标</w:t>
            </w:r>
          </w:p>
        </w:tc>
        <w:tc>
          <w:tcPr>
            <w:tcW w:w="1509" w:type="dxa"/>
            <w:tcBorders>
              <w:top w:val="nil"/>
              <w:left w:val="nil"/>
              <w:bottom w:val="nil"/>
              <w:right w:val="nil"/>
            </w:tcBorders>
            <w:shd w:val="clear" w:color="auto" w:fill="FFFFFF"/>
            <w:vAlign w:val="center"/>
          </w:tcPr>
          <w:p w14:paraId="69F21C25">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中</w:t>
            </w:r>
          </w:p>
        </w:tc>
        <w:tc>
          <w:tcPr>
            <w:tcW w:w="5849" w:type="dxa"/>
            <w:tcBorders>
              <w:top w:val="nil"/>
              <w:left w:val="nil"/>
              <w:bottom w:val="nil"/>
              <w:right w:val="nil"/>
            </w:tcBorders>
            <w:shd w:val="clear" w:color="auto" w:fill="FFFFFF"/>
            <w:vAlign w:val="center"/>
          </w:tcPr>
          <w:p w14:paraId="1D888223">
            <w:pPr>
              <w:keepNext w:val="0"/>
              <w:keepLines w:val="0"/>
              <w:widowControl/>
              <w:suppressLineNumbers w:val="0"/>
              <w:snapToGrid w:val="0"/>
              <w:spacing w:before="0" w:beforeAutospacing="0" w:after="0" w:afterAutospacing="0"/>
              <w:ind w:left="0" w:right="0"/>
              <w:jc w:val="left"/>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定标错误直接影响所有检测结果</w:t>
            </w:r>
          </w:p>
        </w:tc>
      </w:tr>
      <w:tr w14:paraId="6C268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1526" w:type="dxa"/>
            <w:tcBorders>
              <w:top w:val="nil"/>
              <w:left w:val="nil"/>
              <w:bottom w:val="nil"/>
              <w:right w:val="nil"/>
            </w:tcBorders>
            <w:shd w:val="clear" w:color="auto" w:fill="FFFFFF"/>
            <w:vAlign w:val="center"/>
          </w:tcPr>
          <w:p w14:paraId="1189A6ED">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质控</w:t>
            </w:r>
          </w:p>
        </w:tc>
        <w:tc>
          <w:tcPr>
            <w:tcW w:w="1509" w:type="dxa"/>
            <w:tcBorders>
              <w:top w:val="nil"/>
              <w:left w:val="nil"/>
              <w:bottom w:val="nil"/>
              <w:right w:val="nil"/>
            </w:tcBorders>
            <w:shd w:val="clear" w:color="auto" w:fill="FFFFFF"/>
            <w:vAlign w:val="center"/>
          </w:tcPr>
          <w:p w14:paraId="62608CF3">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中</w:t>
            </w:r>
          </w:p>
        </w:tc>
        <w:tc>
          <w:tcPr>
            <w:tcW w:w="5849" w:type="dxa"/>
            <w:tcBorders>
              <w:top w:val="nil"/>
              <w:left w:val="nil"/>
              <w:bottom w:val="nil"/>
              <w:right w:val="nil"/>
            </w:tcBorders>
            <w:shd w:val="clear" w:color="auto" w:fill="FFFFFF"/>
            <w:vAlign w:val="center"/>
          </w:tcPr>
          <w:p w14:paraId="1895589C">
            <w:pPr>
              <w:keepNext w:val="0"/>
              <w:keepLines w:val="0"/>
              <w:widowControl/>
              <w:suppressLineNumbers w:val="0"/>
              <w:snapToGrid w:val="0"/>
              <w:spacing w:before="0" w:beforeAutospacing="0" w:after="0" w:afterAutospacing="0"/>
              <w:ind w:left="0" w:right="0"/>
              <w:jc w:val="left"/>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质控失控未被发现会导致错误结果持续</w:t>
            </w:r>
          </w:p>
        </w:tc>
      </w:tr>
      <w:tr w14:paraId="139D6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1526" w:type="dxa"/>
            <w:tcBorders>
              <w:top w:val="nil"/>
              <w:left w:val="nil"/>
              <w:bottom w:val="nil"/>
              <w:right w:val="nil"/>
            </w:tcBorders>
            <w:shd w:val="clear" w:color="auto" w:fill="FFFFFF"/>
            <w:vAlign w:val="center"/>
          </w:tcPr>
          <w:p w14:paraId="1EAD99F5">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样本分析</w:t>
            </w:r>
          </w:p>
        </w:tc>
        <w:tc>
          <w:tcPr>
            <w:tcW w:w="1509" w:type="dxa"/>
            <w:tcBorders>
              <w:top w:val="nil"/>
              <w:left w:val="nil"/>
              <w:bottom w:val="nil"/>
              <w:right w:val="nil"/>
            </w:tcBorders>
            <w:shd w:val="clear" w:color="auto" w:fill="FFFFFF"/>
            <w:vAlign w:val="center"/>
          </w:tcPr>
          <w:p w14:paraId="0897A503">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中</w:t>
            </w:r>
          </w:p>
        </w:tc>
        <w:tc>
          <w:tcPr>
            <w:tcW w:w="5849" w:type="dxa"/>
            <w:tcBorders>
              <w:top w:val="nil"/>
              <w:left w:val="nil"/>
              <w:bottom w:val="nil"/>
              <w:right w:val="nil"/>
            </w:tcBorders>
            <w:shd w:val="clear" w:color="auto" w:fill="FFFFFF"/>
            <w:vAlign w:val="center"/>
          </w:tcPr>
          <w:p w14:paraId="1F883EE4">
            <w:pPr>
              <w:keepNext w:val="0"/>
              <w:keepLines w:val="0"/>
              <w:widowControl/>
              <w:suppressLineNumbers w:val="0"/>
              <w:snapToGrid w:val="0"/>
              <w:spacing w:before="0" w:beforeAutospacing="0" w:after="0" w:afterAutospacing="0"/>
              <w:ind w:left="0" w:right="0"/>
              <w:jc w:val="left"/>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操作失误可能导致样本交叉污染或结果错误</w:t>
            </w:r>
          </w:p>
        </w:tc>
      </w:tr>
      <w:tr w14:paraId="60645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1526" w:type="dxa"/>
            <w:tcBorders>
              <w:top w:val="nil"/>
              <w:left w:val="nil"/>
              <w:bottom w:val="single" w:color="000000" w:sz="4" w:space="0"/>
              <w:right w:val="nil"/>
            </w:tcBorders>
            <w:shd w:val="clear" w:color="auto" w:fill="FFFFFF"/>
            <w:vAlign w:val="center"/>
          </w:tcPr>
          <w:p w14:paraId="420A277A">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设备维护</w:t>
            </w:r>
          </w:p>
        </w:tc>
        <w:tc>
          <w:tcPr>
            <w:tcW w:w="1509" w:type="dxa"/>
            <w:tcBorders>
              <w:top w:val="nil"/>
              <w:left w:val="nil"/>
              <w:bottom w:val="single" w:color="000000" w:sz="4" w:space="0"/>
              <w:right w:val="nil"/>
            </w:tcBorders>
            <w:shd w:val="clear" w:color="auto" w:fill="FFFFFF"/>
            <w:vAlign w:val="center"/>
          </w:tcPr>
          <w:p w14:paraId="31E8C5EC">
            <w:pPr>
              <w:keepNext w:val="0"/>
              <w:keepLines w:val="0"/>
              <w:widowControl/>
              <w:suppressLineNumbers w:val="0"/>
              <w:snapToGrid w:val="0"/>
              <w:spacing w:before="0" w:beforeAutospacing="0" w:after="0" w:afterAutospacing="0"/>
              <w:ind w:left="0" w:right="0"/>
              <w:jc w:val="center"/>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低</w:t>
            </w:r>
          </w:p>
        </w:tc>
        <w:tc>
          <w:tcPr>
            <w:tcW w:w="5849" w:type="dxa"/>
            <w:tcBorders>
              <w:top w:val="nil"/>
              <w:left w:val="nil"/>
              <w:bottom w:val="single" w:color="000000" w:sz="4" w:space="0"/>
              <w:right w:val="nil"/>
            </w:tcBorders>
            <w:shd w:val="clear" w:color="auto" w:fill="FFFFFF"/>
            <w:vAlign w:val="center"/>
          </w:tcPr>
          <w:p w14:paraId="7933EBC8">
            <w:pPr>
              <w:keepNext w:val="0"/>
              <w:keepLines w:val="0"/>
              <w:widowControl/>
              <w:suppressLineNumbers w:val="0"/>
              <w:snapToGrid w:val="0"/>
              <w:spacing w:before="0" w:beforeAutospacing="0" w:after="0" w:afterAutospacing="0"/>
              <w:ind w:left="0" w:right="0"/>
              <w:jc w:val="left"/>
              <w:rPr>
                <w:rFonts w:hint="default" w:ascii="Arial" w:hAnsi="Arial" w:eastAsia="宋体" w:cs="Arial"/>
                <w:b w:val="0"/>
                <w:i w:val="0"/>
                <w:iCs w:val="0"/>
                <w:caps w:val="0"/>
                <w:color w:val="000000"/>
                <w:spacing w:val="0"/>
                <w:sz w:val="24"/>
                <w:szCs w:val="24"/>
              </w:rPr>
            </w:pPr>
            <w:r>
              <w:rPr>
                <w:rFonts w:hint="default" w:ascii="Arial" w:hAnsi="Arial" w:eastAsia="宋体" w:cs="Arial"/>
                <w:b w:val="0"/>
                <w:i w:val="0"/>
                <w:iCs w:val="0"/>
                <w:caps w:val="0"/>
                <w:color w:val="000000"/>
                <w:spacing w:val="0"/>
                <w:kern w:val="0"/>
                <w:sz w:val="24"/>
                <w:szCs w:val="24"/>
                <w:lang w:val="en-US" w:eastAsia="zh-CN" w:bidi="ar"/>
              </w:rPr>
              <w:t>维护不当可能影响设备性能</w:t>
            </w:r>
          </w:p>
        </w:tc>
      </w:tr>
    </w:tbl>
    <w:p w14:paraId="662CD1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0" w:right="0" w:firstLine="0"/>
        <w:jc w:val="left"/>
        <w:rPr>
          <w:rFonts w:hint="default" w:eastAsia="宋体" w:asciiTheme="minorAscii" w:hAnsiTheme="minorAscii" w:cstheme="minorBidi"/>
          <w:kern w:val="44"/>
          <w:sz w:val="28"/>
          <w:szCs w:val="28"/>
          <w:lang w:val="en-US" w:eastAsia="zh-CN" w:bidi="ar-SA"/>
        </w:rPr>
      </w:pPr>
      <w:bookmarkStart w:id="7" w:name="_Toc11899"/>
      <w:r>
        <w:rPr>
          <w:rFonts w:hint="default" w:eastAsia="宋体" w:asciiTheme="minorAscii" w:hAnsiTheme="minorAscii" w:cstheme="minorBidi"/>
          <w:kern w:val="44"/>
          <w:sz w:val="28"/>
          <w:szCs w:val="28"/>
          <w:lang w:val="en-US" w:eastAsia="zh-CN" w:bidi="ar-SA"/>
        </w:rPr>
        <w:t>常见错误使用案例及风险点</w:t>
      </w:r>
      <w:bookmarkEnd w:id="7"/>
    </w:p>
    <w:p w14:paraId="6E24DFC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‌底物耗尽现象‌：样本酶含量过高导致反应曲线异常，结果假性偏低</w:t>
      </w:r>
    </w:p>
    <w:p w14:paraId="1F95A20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‌使用过期设备‌：超过使用期限的设备性能不稳定，检测结果不可靠</w:t>
      </w:r>
    </w:p>
    <w:p w14:paraId="1A6B1A1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‌灯泡老化未更换‌：导致检测波长不准确，影响多个项目结果</w:t>
      </w:r>
    </w:p>
    <w:p w14:paraId="1D3F39B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‌试剂管理不当‌：试剂未正确保存或过期使用</w:t>
      </w:r>
    </w:p>
    <w:p w14:paraId="5815C72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‌操作流程错误‌：未按标准操作流程进行</w:t>
      </w:r>
      <w:r>
        <w:rPr>
          <w:rFonts w:hint="eastAsia" w:ascii="Arial" w:hAnsi="Arial" w:eastAsia="宋体" w:cs="Arial"/>
          <w:i w:val="0"/>
          <w:iCs w:val="0"/>
          <w:caps w:val="0"/>
          <w:color w:val="333333"/>
          <w:spacing w:val="0"/>
          <w:sz w:val="24"/>
          <w:szCs w:val="24"/>
          <w:shd w:val="clear" w:fill="FFFFFF"/>
          <w:lang w:val="en-US" w:eastAsia="zh-CN"/>
        </w:rPr>
        <w:t>操作，如未放置样本或放置错误等；</w:t>
      </w:r>
    </w:p>
    <w:p w14:paraId="5ED13E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0" w:right="0" w:firstLine="0"/>
        <w:jc w:val="left"/>
        <w:rPr>
          <w:rFonts w:hint="default" w:eastAsia="宋体" w:asciiTheme="minorAscii" w:hAnsiTheme="minorAscii" w:cstheme="minorBidi"/>
          <w:kern w:val="44"/>
          <w:sz w:val="28"/>
          <w:szCs w:val="28"/>
          <w:lang w:val="en-US" w:eastAsia="zh-CN" w:bidi="ar-SA"/>
        </w:rPr>
      </w:pPr>
      <w:bookmarkStart w:id="8" w:name="_Toc19727"/>
      <w:r>
        <w:rPr>
          <w:rFonts w:hint="default" w:eastAsia="宋体" w:asciiTheme="minorAscii" w:hAnsiTheme="minorAscii" w:cstheme="minorBidi"/>
          <w:kern w:val="44"/>
          <w:sz w:val="28"/>
          <w:szCs w:val="28"/>
          <w:lang w:val="en-US" w:eastAsia="zh-CN" w:bidi="ar-SA"/>
        </w:rPr>
        <w:t>风险控制措施</w:t>
      </w:r>
      <w:bookmarkEnd w:id="8"/>
    </w:p>
    <w:p w14:paraId="0E0FC3D5">
      <w:pPr>
        <w:pStyle w:val="17"/>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425" w:leftChars="0" w:right="0" w:hanging="425" w:firstLineChars="0"/>
        <w:jc w:val="left"/>
        <w:rPr>
          <w:rFonts w:hint="default" w:ascii="Arial" w:hAnsi="Arial" w:eastAsia="宋体" w:cs="Arial"/>
          <w:color w:val="333333"/>
          <w:sz w:val="24"/>
          <w:szCs w:val="24"/>
        </w:rPr>
      </w:pPr>
      <w:r>
        <w:rPr>
          <w:rFonts w:hint="default" w:ascii="Arial" w:hAnsi="Arial" w:eastAsia="宋体" w:cs="Arial"/>
          <w:i w:val="0"/>
          <w:iCs w:val="0"/>
          <w:caps w:val="0"/>
          <w:color w:val="333333"/>
          <w:spacing w:val="0"/>
          <w:sz w:val="24"/>
          <w:szCs w:val="24"/>
          <w:shd w:val="clear" w:fill="FFFFFF"/>
        </w:rPr>
        <w:t>‌</w:t>
      </w:r>
      <w:r>
        <w:rPr>
          <w:rStyle w:val="21"/>
          <w:rFonts w:hint="default" w:ascii="Arial" w:hAnsi="Arial" w:eastAsia="宋体" w:cs="Arial"/>
          <w:b/>
          <w:bCs/>
          <w:i w:val="0"/>
          <w:iCs w:val="0"/>
          <w:caps w:val="0"/>
          <w:color w:val="333333"/>
          <w:spacing w:val="0"/>
          <w:sz w:val="24"/>
          <w:szCs w:val="24"/>
          <w:shd w:val="clear" w:fill="FFFFFF"/>
        </w:rPr>
        <w:t>技术措施</w:t>
      </w:r>
      <w:r>
        <w:rPr>
          <w:rFonts w:hint="default" w:ascii="Arial" w:hAnsi="Arial" w:eastAsia="宋体" w:cs="Arial"/>
          <w:i w:val="0"/>
          <w:iCs w:val="0"/>
          <w:caps w:val="0"/>
          <w:color w:val="333333"/>
          <w:spacing w:val="0"/>
          <w:sz w:val="24"/>
          <w:szCs w:val="24"/>
          <w:shd w:val="clear" w:fill="FFFFFF"/>
        </w:rPr>
        <w:t>‌：</w:t>
      </w:r>
    </w:p>
    <w:p w14:paraId="04358321">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60" w:right="0" w:hanging="360"/>
        <w:jc w:val="left"/>
        <w:rPr>
          <w:rFonts w:eastAsia="宋体"/>
        </w:rPr>
      </w:pPr>
      <w:r>
        <w:rPr>
          <w:rFonts w:hint="default" w:ascii="Arial" w:hAnsi="Arial" w:eastAsia="宋体" w:cs="Arial"/>
          <w:i w:val="0"/>
          <w:iCs w:val="0"/>
          <w:caps w:val="0"/>
          <w:color w:val="333333"/>
          <w:spacing w:val="0"/>
          <w:sz w:val="24"/>
          <w:szCs w:val="24"/>
          <w:shd w:val="clear" w:fill="FFFFFF"/>
        </w:rPr>
        <w:t>增加反应曲线自动分析功能</w:t>
      </w:r>
    </w:p>
    <w:p w14:paraId="567F30F5">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60" w:right="0" w:hanging="360"/>
        <w:jc w:val="left"/>
        <w:rPr>
          <w:rFonts w:eastAsia="宋体"/>
        </w:rPr>
      </w:pPr>
      <w:r>
        <w:rPr>
          <w:rFonts w:hint="default" w:ascii="Arial" w:hAnsi="Arial" w:eastAsia="宋体" w:cs="Arial"/>
          <w:i w:val="0"/>
          <w:iCs w:val="0"/>
          <w:caps w:val="0"/>
          <w:color w:val="333333"/>
          <w:spacing w:val="0"/>
          <w:sz w:val="24"/>
          <w:szCs w:val="24"/>
          <w:shd w:val="clear" w:fill="FFFFFF"/>
        </w:rPr>
        <w:t>设置设备使用期限提醒</w:t>
      </w:r>
    </w:p>
    <w:p w14:paraId="4783DC2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default" w:ascii="Arial" w:hAnsi="Arial" w:eastAsia="宋体" w:cs="Arial"/>
          <w:i w:val="0"/>
          <w:iCs w:val="0"/>
          <w:caps w:val="0"/>
          <w:color w:val="333333"/>
          <w:spacing w:val="0"/>
          <w:sz w:val="24"/>
          <w:szCs w:val="24"/>
          <w:shd w:val="clear" w:fill="FFFFFF"/>
        </w:rPr>
      </w:pPr>
      <w:r>
        <w:rPr>
          <w:rFonts w:hint="eastAsia" w:ascii="Arial" w:hAnsi="Arial" w:eastAsia="宋体" w:cs="Arial"/>
          <w:i w:val="0"/>
          <w:iCs w:val="0"/>
          <w:caps w:val="0"/>
          <w:color w:val="333333"/>
          <w:spacing w:val="0"/>
          <w:sz w:val="24"/>
          <w:szCs w:val="24"/>
          <w:shd w:val="clear" w:fill="FFFFFF"/>
          <w:lang w:val="en-US" w:eastAsia="zh-CN"/>
        </w:rPr>
        <w:t>说明书中提醒用户及时更换</w:t>
      </w:r>
      <w:r>
        <w:rPr>
          <w:rFonts w:hint="default" w:ascii="Arial" w:hAnsi="Arial" w:eastAsia="宋体" w:cs="Arial"/>
          <w:i w:val="0"/>
          <w:iCs w:val="0"/>
          <w:caps w:val="0"/>
          <w:color w:val="333333"/>
          <w:spacing w:val="0"/>
          <w:sz w:val="24"/>
          <w:szCs w:val="24"/>
          <w:shd w:val="clear" w:fill="FFFFFF"/>
        </w:rPr>
        <w:t>灯泡</w:t>
      </w:r>
      <w:r>
        <w:rPr>
          <w:rFonts w:hint="eastAsia" w:ascii="Arial" w:hAnsi="Arial" w:eastAsia="宋体" w:cs="Arial"/>
          <w:i w:val="0"/>
          <w:iCs w:val="0"/>
          <w:caps w:val="0"/>
          <w:color w:val="333333"/>
          <w:spacing w:val="0"/>
          <w:sz w:val="24"/>
          <w:szCs w:val="24"/>
          <w:shd w:val="clear" w:fill="FFFFFF"/>
          <w:lang w:eastAsia="zh-CN"/>
        </w:rPr>
        <w:t>，</w:t>
      </w:r>
      <w:r>
        <w:rPr>
          <w:rFonts w:hint="eastAsia" w:ascii="Arial" w:hAnsi="Arial" w:eastAsia="宋体" w:cs="Arial"/>
          <w:i w:val="0"/>
          <w:iCs w:val="0"/>
          <w:caps w:val="0"/>
          <w:color w:val="333333"/>
          <w:spacing w:val="0"/>
          <w:sz w:val="24"/>
          <w:szCs w:val="24"/>
          <w:shd w:val="clear" w:fill="FFFFFF"/>
          <w:lang w:val="en-US" w:eastAsia="zh-CN"/>
        </w:rPr>
        <w:t>建立用时记录</w:t>
      </w:r>
    </w:p>
    <w:p w14:paraId="21A535C8">
      <w:pPr>
        <w:pStyle w:val="17"/>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425" w:leftChars="0" w:right="0" w:hanging="425" w:firstLineChars="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‌管理措施‌：</w:t>
      </w:r>
    </w:p>
    <w:p w14:paraId="288EDBCA">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90" w:beforeAutospacing="0" w:after="90" w:afterAutospacing="0" w:line="420" w:lineRule="atLeast"/>
        <w:ind w:left="60" w:right="0" w:hanging="360"/>
        <w:jc w:val="left"/>
        <w:rPr>
          <w:rFonts w:eastAsia="宋体"/>
        </w:rPr>
      </w:pPr>
      <w:r>
        <w:rPr>
          <w:rFonts w:hint="default" w:ascii="Arial" w:hAnsi="Arial" w:eastAsia="宋体" w:cs="Arial"/>
          <w:i w:val="0"/>
          <w:iCs w:val="0"/>
          <w:caps w:val="0"/>
          <w:color w:val="333333"/>
          <w:spacing w:val="0"/>
          <w:sz w:val="24"/>
          <w:szCs w:val="24"/>
          <w:shd w:val="clear" w:fill="FFFFFF"/>
        </w:rPr>
        <w:t>制定标准操作流程(SOP)</w:t>
      </w:r>
    </w:p>
    <w:p w14:paraId="7FB437B2">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90" w:beforeAutospacing="0" w:after="90" w:afterAutospacing="0" w:line="420" w:lineRule="atLeast"/>
        <w:ind w:left="60" w:right="0" w:hanging="360"/>
        <w:jc w:val="left"/>
        <w:rPr>
          <w:rFonts w:eastAsia="宋体"/>
        </w:rPr>
      </w:pPr>
      <w:r>
        <w:rPr>
          <w:rFonts w:hint="default" w:ascii="Arial" w:hAnsi="Arial" w:eastAsia="宋体" w:cs="Arial"/>
          <w:i w:val="0"/>
          <w:iCs w:val="0"/>
          <w:caps w:val="0"/>
          <w:color w:val="333333"/>
          <w:spacing w:val="0"/>
          <w:sz w:val="24"/>
          <w:szCs w:val="24"/>
          <w:shd w:val="clear" w:fill="FFFFFF"/>
        </w:rPr>
        <w:t>加强人员培训</w:t>
      </w:r>
    </w:p>
    <w:p w14:paraId="13AB1B21">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90" w:beforeAutospacing="0" w:after="90" w:afterAutospacing="0" w:line="420" w:lineRule="atLeast"/>
        <w:ind w:left="60" w:right="0" w:hanging="360"/>
        <w:jc w:val="left"/>
        <w:rPr>
          <w:rFonts w:eastAsia="宋体"/>
        </w:rPr>
      </w:pPr>
      <w:r>
        <w:rPr>
          <w:rFonts w:hint="default" w:ascii="Arial" w:hAnsi="Arial" w:eastAsia="宋体" w:cs="Arial"/>
          <w:i w:val="0"/>
          <w:iCs w:val="0"/>
          <w:caps w:val="0"/>
          <w:color w:val="333333"/>
          <w:spacing w:val="0"/>
          <w:sz w:val="24"/>
          <w:szCs w:val="24"/>
          <w:shd w:val="clear" w:fill="FFFFFF"/>
        </w:rPr>
        <w:t>建立定期维护制度</w:t>
      </w:r>
    </w:p>
    <w:p w14:paraId="021A141B">
      <w:pPr>
        <w:pStyle w:val="17"/>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425" w:leftChars="0" w:right="0" w:hanging="425" w:firstLineChars="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‌文档措施‌：</w:t>
      </w:r>
    </w:p>
    <w:p w14:paraId="2F3985F1">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90" w:beforeAutospacing="0" w:after="90" w:afterAutospacing="0" w:line="420" w:lineRule="atLeast"/>
        <w:ind w:left="60" w:right="0" w:hanging="360"/>
        <w:jc w:val="left"/>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完善操作手册和故障排除指南</w:t>
      </w:r>
    </w:p>
    <w:p w14:paraId="61D30816">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90" w:beforeAutospacing="0" w:after="90" w:afterAutospacing="0" w:line="420" w:lineRule="atLeast"/>
        <w:ind w:left="60" w:right="0" w:hanging="360"/>
        <w:jc w:val="left"/>
        <w:rPr>
          <w:rFonts w:hint="eastAsia" w:ascii="Arial" w:hAnsi="Arial" w:eastAsia="宋体" w:cs="Arial"/>
          <w:i w:val="0"/>
          <w:iCs w:val="0"/>
          <w:caps w:val="0"/>
          <w:color w:val="333333"/>
          <w:spacing w:val="0"/>
          <w:sz w:val="24"/>
          <w:szCs w:val="24"/>
          <w:shd w:val="clear" w:fill="FFFFFF"/>
          <w:lang w:val="en-US" w:eastAsia="zh-CN"/>
        </w:rPr>
      </w:pPr>
      <w:r>
        <w:rPr>
          <w:rFonts w:hint="default" w:ascii="Arial" w:hAnsi="Arial" w:eastAsia="宋体" w:cs="Arial"/>
          <w:i w:val="0"/>
          <w:iCs w:val="0"/>
          <w:caps w:val="0"/>
          <w:color w:val="333333"/>
          <w:spacing w:val="0"/>
          <w:sz w:val="24"/>
          <w:szCs w:val="24"/>
          <w:shd w:val="clear" w:fill="FFFFFF"/>
        </w:rPr>
        <w:t>提供常见问题解决方案</w:t>
      </w:r>
    </w:p>
    <w:p w14:paraId="3682663C">
      <w:pPr>
        <w:pStyle w:val="2"/>
        <w:ind w:left="0" w:leftChars="0" w:firstLine="0" w:firstLineChars="0"/>
        <w:rPr>
          <w:rFonts w:hint="eastAsia"/>
          <w:lang w:val="en-US" w:eastAsia="zh-CN"/>
        </w:rPr>
      </w:pPr>
    </w:p>
    <w:p w14:paraId="6C857A78">
      <w:pPr>
        <w:rPr>
          <w:rFonts w:hint="default"/>
          <w:lang w:val="en-US" w:eastAsia="zh-CN"/>
        </w:rPr>
      </w:pPr>
    </w:p>
    <w:p w14:paraId="1FBF8F40">
      <w:pPr>
        <w:pStyle w:val="3"/>
        <w:bidi w:val="0"/>
      </w:pPr>
      <w:bookmarkStart w:id="9" w:name="_Toc6425"/>
      <w:r>
        <w:t>同类医疗器械上市后使用问题分析</w:t>
      </w:r>
      <w:bookmarkEnd w:id="9"/>
    </w:p>
    <w:p w14:paraId="2E30D3DF">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6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rPr>
      </w:pPr>
      <w:bookmarkStart w:id="10" w:name="_Toc31963"/>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 xml:space="preserve">4.1 </w:t>
      </w:r>
      <w:r>
        <w:rPr>
          <w:rFonts w:hint="eastAsia" w:asciiTheme="minorEastAsia" w:hAnsiTheme="minorEastAsia" w:eastAsiaTheme="minorEastAsia" w:cstheme="minorEastAsia"/>
          <w:b/>
          <w:bCs/>
          <w:i w:val="0"/>
          <w:iCs w:val="0"/>
          <w:caps w:val="0"/>
          <w:color w:val="333333"/>
          <w:spacing w:val="0"/>
          <w:sz w:val="24"/>
          <w:szCs w:val="24"/>
          <w:shd w:val="clear" w:fill="FFFFFF"/>
        </w:rPr>
        <w:t>文献来源范围</w:t>
      </w:r>
      <w:bookmarkEnd w:id="10"/>
    </w:p>
    <w:p w14:paraId="63E7525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不良事件数据库</w:t>
      </w:r>
      <w:r>
        <w:rPr>
          <w:rFonts w:hint="eastAsia" w:asciiTheme="minorEastAsia" w:hAnsiTheme="minorEastAsia" w:eastAsiaTheme="minorEastAsia" w:cstheme="minorEastAsia"/>
          <w:i w:val="0"/>
          <w:iCs w:val="0"/>
          <w:caps w:val="0"/>
          <w:color w:val="333333"/>
          <w:spacing w:val="0"/>
          <w:sz w:val="24"/>
          <w:szCs w:val="24"/>
          <w:shd w:val="clear" w:fill="FFFFFF"/>
        </w:rPr>
        <w:t>‌：FDA MAUDE数据库、中国NMPA不良事件监测系统</w:t>
      </w:r>
    </w:p>
    <w:p w14:paraId="5CF24CC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召回数据库</w:t>
      </w:r>
      <w:r>
        <w:rPr>
          <w:rFonts w:hint="eastAsia" w:asciiTheme="minorEastAsia" w:hAnsiTheme="minorEastAsia" w:eastAsiaTheme="minorEastAsia" w:cstheme="minorEastAsia"/>
          <w:i w:val="0"/>
          <w:iCs w:val="0"/>
          <w:caps w:val="0"/>
          <w:color w:val="333333"/>
          <w:spacing w:val="0"/>
          <w:sz w:val="24"/>
          <w:szCs w:val="24"/>
          <w:shd w:val="clear" w:fill="FFFFFF"/>
        </w:rPr>
        <w:t>‌：中国NMPA召回公告、FDA召回数据库</w:t>
      </w:r>
    </w:p>
    <w:p w14:paraId="6F54265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文献库</w:t>
      </w:r>
      <w:r>
        <w:rPr>
          <w:rFonts w:hint="eastAsia" w:asciiTheme="minorEastAsia" w:hAnsiTheme="minorEastAsia" w:eastAsiaTheme="minorEastAsia" w:cstheme="minorEastAsia"/>
          <w:i w:val="0"/>
          <w:iCs w:val="0"/>
          <w:caps w:val="0"/>
          <w:color w:val="333333"/>
          <w:spacing w:val="0"/>
          <w:sz w:val="24"/>
          <w:szCs w:val="24"/>
          <w:shd w:val="clear" w:fill="FFFFFF"/>
        </w:rPr>
        <w:t>‌：CNKI、PubMed、万方数据、维普资讯</w:t>
      </w:r>
    </w:p>
    <w:p w14:paraId="455B6796">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rPr>
      </w:pPr>
      <w:bookmarkStart w:id="11" w:name="_Toc31851"/>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 xml:space="preserve">4.2 </w:t>
      </w:r>
      <w:r>
        <w:rPr>
          <w:rFonts w:hint="eastAsia" w:asciiTheme="minorEastAsia" w:hAnsiTheme="minorEastAsia" w:eastAsiaTheme="minorEastAsia" w:cstheme="minorEastAsia"/>
          <w:b/>
          <w:bCs/>
          <w:i w:val="0"/>
          <w:iCs w:val="0"/>
          <w:caps w:val="0"/>
          <w:color w:val="333333"/>
          <w:spacing w:val="0"/>
          <w:sz w:val="24"/>
          <w:szCs w:val="24"/>
          <w:shd w:val="clear" w:fill="FFFFFF"/>
        </w:rPr>
        <w:t>检索时间范围</w:t>
      </w:r>
      <w:bookmarkEnd w:id="11"/>
    </w:p>
    <w:p w14:paraId="2AAFFBDE">
      <w:pPr>
        <w:rPr>
          <w:rFonts w:hint="eastAsia" w:asciiTheme="minorEastAsia" w:hAnsiTheme="minorEastAsia" w:eastAsiaTheme="minorEastAsia" w:cstheme="minorEastAsia"/>
          <w:i w:val="0"/>
          <w:iCs w:val="0"/>
          <w:caps w:val="0"/>
          <w:color w:val="333333"/>
          <w:spacing w:val="0"/>
          <w:sz w:val="24"/>
          <w:szCs w:val="24"/>
          <w:shd w:val="clear" w:fill="FFFFFF"/>
        </w:rPr>
      </w:pPr>
      <w:r>
        <w:rPr>
          <w:rFonts w:hint="eastAsia" w:asciiTheme="minorEastAsia" w:hAnsiTheme="minorEastAsia" w:eastAsiaTheme="minorEastAsia" w:cstheme="minorEastAsia"/>
          <w:i w:val="0"/>
          <w:iCs w:val="0"/>
          <w:caps w:val="0"/>
          <w:color w:val="333333"/>
          <w:spacing w:val="0"/>
          <w:sz w:val="24"/>
          <w:szCs w:val="24"/>
          <w:shd w:val="clear" w:fill="FFFFFF"/>
        </w:rPr>
        <w:t>2020年1月至2025年8月</w:t>
      </w:r>
    </w:p>
    <w:p w14:paraId="27093C71">
      <w:pPr>
        <w:rPr>
          <w:rFonts w:hint="eastAsia" w:asciiTheme="minorEastAsia" w:hAnsiTheme="minorEastAsia" w:eastAsiaTheme="minorEastAsia" w:cstheme="minorEastAsia"/>
          <w:b/>
          <w:bCs/>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 xml:space="preserve">4.3 </w:t>
      </w:r>
      <w:r>
        <w:rPr>
          <w:rFonts w:hint="eastAsia" w:asciiTheme="minorEastAsia" w:hAnsiTheme="minorEastAsia" w:eastAsiaTheme="minorEastAsia" w:cstheme="minorEastAsia"/>
          <w:b/>
          <w:bCs/>
          <w:i w:val="0"/>
          <w:iCs w:val="0"/>
          <w:caps w:val="0"/>
          <w:color w:val="333333"/>
          <w:spacing w:val="0"/>
          <w:sz w:val="24"/>
          <w:szCs w:val="24"/>
          <w:shd w:val="clear" w:fill="FFFFFF"/>
        </w:rPr>
        <w:t xml:space="preserve"> 检索词</w:t>
      </w:r>
    </w:p>
    <w:p w14:paraId="783AAB4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中文：全自动生化分析仪、使用问题、不良事件、故障、召回</w:t>
      </w:r>
    </w:p>
    <w:p w14:paraId="2F9311C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英文：automated biochemical analyzer、post-market issues、adverse events、recall</w:t>
      </w:r>
    </w:p>
    <w:p w14:paraId="2B3F33BF">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rPr>
      </w:pPr>
      <w:bookmarkStart w:id="12" w:name="_Toc13799"/>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 xml:space="preserve">4.4 </w:t>
      </w:r>
      <w:r>
        <w:rPr>
          <w:rFonts w:hint="eastAsia" w:asciiTheme="minorEastAsia" w:hAnsiTheme="minorEastAsia" w:eastAsiaTheme="minorEastAsia" w:cstheme="minorEastAsia"/>
          <w:b/>
          <w:bCs/>
          <w:i w:val="0"/>
          <w:iCs w:val="0"/>
          <w:caps w:val="0"/>
          <w:color w:val="333333"/>
          <w:spacing w:val="0"/>
          <w:sz w:val="24"/>
          <w:szCs w:val="24"/>
          <w:shd w:val="clear" w:fill="FFFFFF"/>
        </w:rPr>
        <w:t>文献选择标准</w:t>
      </w:r>
      <w:bookmarkEnd w:id="12"/>
    </w:p>
    <w:p w14:paraId="5D54F97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排除个案研究报告</w:t>
      </w:r>
    </w:p>
    <w:p w14:paraId="2E214FB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优先选择系统评价、质量分析类文献</w:t>
      </w:r>
    </w:p>
    <w:p w14:paraId="5FDC152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包含不良事件统计数据的报告</w:t>
      </w:r>
    </w:p>
    <w:p w14:paraId="56D5302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涉及多中心研究的文献</w:t>
      </w:r>
    </w:p>
    <w:p w14:paraId="3615E558">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rPr>
      </w:pPr>
      <w:bookmarkStart w:id="13" w:name="_Toc30429"/>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4.</w:t>
      </w:r>
      <w:r>
        <w:rPr>
          <w:rFonts w:hint="eastAsia" w:asciiTheme="minorEastAsia" w:hAnsiTheme="minorEastAsia" w:eastAsiaTheme="minorEastAsia" w:cstheme="minorEastAsia"/>
          <w:b/>
          <w:bCs/>
          <w:i w:val="0"/>
          <w:iCs w:val="0"/>
          <w:caps w:val="0"/>
          <w:color w:val="333333"/>
          <w:spacing w:val="0"/>
          <w:sz w:val="24"/>
          <w:szCs w:val="24"/>
          <w:shd w:val="clear" w:fill="FFFFFF"/>
        </w:rPr>
        <w:t>5. 检索日期</w:t>
      </w:r>
      <w:bookmarkEnd w:id="13"/>
    </w:p>
    <w:p w14:paraId="74485EA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435" w:lineRule="atLeast"/>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2025年8月1日至2025年9月9日</w:t>
      </w:r>
    </w:p>
    <w:p w14:paraId="0F34F779">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6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shd w:val="clear" w:fill="FFFFFF"/>
        </w:rPr>
      </w:pPr>
      <w:bookmarkStart w:id="14" w:name="_Toc27117"/>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4.</w:t>
      </w:r>
      <w:r>
        <w:rPr>
          <w:rFonts w:hint="eastAsia" w:asciiTheme="minorEastAsia" w:hAnsiTheme="minorEastAsia" w:eastAsiaTheme="minorEastAsia" w:cstheme="minorEastAsia"/>
          <w:b/>
          <w:bCs/>
          <w:i w:val="0"/>
          <w:iCs w:val="0"/>
          <w:caps w:val="0"/>
          <w:color w:val="333333"/>
          <w:spacing w:val="0"/>
          <w:sz w:val="24"/>
          <w:szCs w:val="24"/>
          <w:shd w:val="clear" w:fill="FFFFFF"/>
        </w:rPr>
        <w:t>6. 检索人员</w:t>
      </w:r>
      <w:bookmarkEnd w:id="14"/>
    </w:p>
    <w:p w14:paraId="4D77389F">
      <w:pPr>
        <w:rPr>
          <w:rFonts w:hint="default" w:eastAsiaTheme="minorEastAsia"/>
          <w:b w:val="0"/>
          <w:bCs w:val="0"/>
          <w:lang w:val="en-US" w:eastAsia="zh-CN"/>
        </w:rPr>
      </w:pPr>
      <w:r>
        <w:rPr>
          <w:rFonts w:hint="eastAsia" w:asciiTheme="minorEastAsia" w:hAnsiTheme="minorEastAsia" w:cstheme="minorEastAsia"/>
          <w:b w:val="0"/>
          <w:bCs w:val="0"/>
          <w:i w:val="0"/>
          <w:iCs w:val="0"/>
          <w:caps w:val="0"/>
          <w:color w:val="333333"/>
          <w:spacing w:val="0"/>
          <w:sz w:val="24"/>
          <w:szCs w:val="24"/>
          <w:shd w:val="clear" w:fill="FFFFFF"/>
          <w:lang w:val="en-US" w:eastAsia="zh-CN"/>
        </w:rPr>
        <w:t xml:space="preserve"> 质量部汪银成 、开发部杨华</w:t>
      </w:r>
    </w:p>
    <w:p w14:paraId="3C495DC6">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6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pPr>
      <w:bookmarkStart w:id="15" w:name="_Toc13398"/>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4.7 检索结果</w:t>
      </w:r>
      <w:bookmarkEnd w:id="15"/>
    </w:p>
    <w:p w14:paraId="3F7A0C74">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6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shd w:val="clear" w:fill="FFFFFF"/>
        </w:rPr>
      </w:pPr>
      <w:bookmarkStart w:id="16" w:name="_Toc23043"/>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 xml:space="preserve">4.7.1 </w:t>
      </w:r>
      <w:r>
        <w:rPr>
          <w:rFonts w:hint="eastAsia" w:asciiTheme="minorEastAsia" w:hAnsiTheme="minorEastAsia" w:eastAsiaTheme="minorEastAsia" w:cstheme="minorEastAsia"/>
          <w:b/>
          <w:bCs/>
          <w:i w:val="0"/>
          <w:iCs w:val="0"/>
          <w:caps w:val="0"/>
          <w:color w:val="333333"/>
          <w:spacing w:val="0"/>
          <w:sz w:val="24"/>
          <w:szCs w:val="24"/>
          <w:shd w:val="clear" w:fill="FFFFFF"/>
        </w:rPr>
        <w:t xml:space="preserve"> 不良事件与召回数据</w:t>
      </w:r>
      <w:bookmarkEnd w:id="16"/>
    </w:p>
    <w:p w14:paraId="704E67A2">
      <w:pPr>
        <w:pStyle w:val="5"/>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165" w:beforeAutospacing="0" w:after="90" w:afterAutospacing="0" w:line="450" w:lineRule="atLeast"/>
        <w:ind w:left="425" w:leftChars="0" w:right="0" w:rightChars="0" w:hanging="425" w:firstLineChars="0"/>
        <w:jc w:val="left"/>
        <w:rPr>
          <w:rFonts w:hint="eastAsia" w:asciiTheme="minorEastAsia" w:hAnsiTheme="minorEastAsia" w:eastAsiaTheme="minorEastAsia" w:cstheme="minorEastAsia"/>
          <w:b/>
          <w:bCs/>
          <w:i w:val="0"/>
          <w:iCs w:val="0"/>
          <w:caps w:val="0"/>
          <w:color w:val="333333"/>
          <w:spacing w:val="0"/>
          <w:sz w:val="24"/>
          <w:szCs w:val="24"/>
        </w:rPr>
      </w:pPr>
      <w:bookmarkStart w:id="17" w:name="_Toc19253"/>
      <w:r>
        <w:rPr>
          <w:rFonts w:hint="eastAsia" w:asciiTheme="minorEastAsia" w:hAnsiTheme="minorEastAsia" w:eastAsiaTheme="minorEastAsia" w:cstheme="minorEastAsia"/>
          <w:b/>
          <w:bCs/>
          <w:i w:val="0"/>
          <w:iCs w:val="0"/>
          <w:caps w:val="0"/>
          <w:color w:val="333333"/>
          <w:spacing w:val="0"/>
          <w:sz w:val="24"/>
          <w:szCs w:val="24"/>
          <w:shd w:val="clear" w:fill="FFFFFF"/>
        </w:rPr>
        <w:t>中国NMPA召回信息</w:t>
      </w:r>
      <w:bookmarkEnd w:id="17"/>
    </w:p>
    <w:p w14:paraId="54ACBED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产品名称</w:t>
      </w:r>
      <w:r>
        <w:rPr>
          <w:rFonts w:hint="eastAsia" w:asciiTheme="minorEastAsia" w:hAnsiTheme="minorEastAsia" w:eastAsiaTheme="minorEastAsia" w:cstheme="minorEastAsia"/>
          <w:i w:val="0"/>
          <w:iCs w:val="0"/>
          <w:caps w:val="0"/>
          <w:color w:val="333333"/>
          <w:spacing w:val="0"/>
          <w:sz w:val="24"/>
          <w:szCs w:val="24"/>
          <w:shd w:val="clear" w:fill="FFFFFF"/>
        </w:rPr>
        <w:t>‌：全自动生化分析仪(Clinical Chemistry Analyzer)</w:t>
      </w:r>
    </w:p>
    <w:p w14:paraId="2AFAA85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生产企业</w:t>
      </w:r>
      <w:r>
        <w:rPr>
          <w:rFonts w:hint="eastAsia" w:asciiTheme="minorEastAsia" w:hAnsiTheme="minorEastAsia" w:eastAsiaTheme="minorEastAsia" w:cstheme="minorEastAsia"/>
          <w:i w:val="0"/>
          <w:iCs w:val="0"/>
          <w:caps w:val="0"/>
          <w:color w:val="333333"/>
          <w:spacing w:val="0"/>
          <w:sz w:val="24"/>
          <w:szCs w:val="24"/>
          <w:shd w:val="clear" w:fill="FFFFFF"/>
        </w:rPr>
        <w:t>‌：赛默***机构Thermo Fisher Scientific Oy</w:t>
      </w:r>
    </w:p>
    <w:p w14:paraId="78C3A65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召回级别</w:t>
      </w:r>
      <w:r>
        <w:rPr>
          <w:rFonts w:hint="eastAsia" w:asciiTheme="minorEastAsia" w:hAnsiTheme="minorEastAsia" w:eastAsiaTheme="minorEastAsia" w:cstheme="minorEastAsia"/>
          <w:i w:val="0"/>
          <w:iCs w:val="0"/>
          <w:caps w:val="0"/>
          <w:color w:val="333333"/>
          <w:spacing w:val="0"/>
          <w:sz w:val="24"/>
          <w:szCs w:val="24"/>
          <w:shd w:val="clear" w:fill="FFFFFF"/>
        </w:rPr>
        <w:t>‌：三级召回</w:t>
      </w:r>
    </w:p>
    <w:p w14:paraId="3BC41A3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召回原因</w:t>
      </w:r>
      <w:r>
        <w:rPr>
          <w:rFonts w:hint="eastAsia" w:asciiTheme="minorEastAsia" w:hAnsiTheme="minorEastAsia" w:eastAsiaTheme="minorEastAsia" w:cstheme="minorEastAsia"/>
          <w:i w:val="0"/>
          <w:iCs w:val="0"/>
          <w:caps w:val="0"/>
          <w:color w:val="333333"/>
          <w:spacing w:val="0"/>
          <w:sz w:val="24"/>
          <w:szCs w:val="24"/>
          <w:shd w:val="clear" w:fill="FFFFFF"/>
        </w:rPr>
        <w:t>‌：部分产品安装第三方软件，可能干扰产品性能并生成错误消息</w:t>
      </w:r>
    </w:p>
    <w:p w14:paraId="39BB13C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涉及产品</w:t>
      </w:r>
      <w:r>
        <w:rPr>
          <w:rFonts w:hint="eastAsia" w:asciiTheme="minorEastAsia" w:hAnsiTheme="minorEastAsia" w:eastAsiaTheme="minorEastAsia" w:cstheme="minorEastAsia"/>
          <w:i w:val="0"/>
          <w:iCs w:val="0"/>
          <w:caps w:val="0"/>
          <w:color w:val="333333"/>
          <w:spacing w:val="0"/>
          <w:sz w:val="24"/>
          <w:szCs w:val="24"/>
          <w:shd w:val="clear" w:fill="FFFFFF"/>
        </w:rPr>
        <w:t>‌：国械注进20192221596</w:t>
      </w:r>
    </w:p>
    <w:p w14:paraId="4CC4D97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召回日期</w:t>
      </w:r>
      <w:r>
        <w:rPr>
          <w:rFonts w:hint="eastAsia" w:asciiTheme="minorEastAsia" w:hAnsiTheme="minorEastAsia" w:eastAsiaTheme="minorEastAsia" w:cstheme="minorEastAsia"/>
          <w:i w:val="0"/>
          <w:iCs w:val="0"/>
          <w:caps w:val="0"/>
          <w:color w:val="333333"/>
          <w:spacing w:val="0"/>
          <w:sz w:val="24"/>
          <w:szCs w:val="24"/>
          <w:shd w:val="clear" w:fill="FFFFFF"/>
        </w:rPr>
        <w:t>‌：2025年7月31日</w:t>
      </w:r>
    </w:p>
    <w:p w14:paraId="018EB9FE">
      <w:pPr>
        <w:pStyle w:val="5"/>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165" w:beforeAutospacing="0" w:after="90" w:afterAutospacing="0" w:line="450" w:lineRule="atLeast"/>
        <w:ind w:left="425" w:leftChars="0" w:right="0" w:rightChars="0" w:hanging="425" w:firstLineChars="0"/>
        <w:jc w:val="left"/>
        <w:rPr>
          <w:rFonts w:hint="eastAsia" w:asciiTheme="minorEastAsia" w:hAnsiTheme="minorEastAsia" w:eastAsiaTheme="minorEastAsia" w:cstheme="minorEastAsia"/>
          <w:b/>
          <w:bCs/>
          <w:i w:val="0"/>
          <w:iCs w:val="0"/>
          <w:caps w:val="0"/>
          <w:color w:val="333333"/>
          <w:spacing w:val="0"/>
          <w:sz w:val="24"/>
          <w:szCs w:val="24"/>
          <w:shd w:val="clear" w:fill="FFFFFF"/>
        </w:rPr>
      </w:pPr>
      <w:bookmarkStart w:id="18" w:name="_Toc15907"/>
      <w:r>
        <w:rPr>
          <w:rFonts w:hint="eastAsia" w:asciiTheme="minorEastAsia" w:hAnsiTheme="minorEastAsia" w:eastAsiaTheme="minorEastAsia" w:cstheme="minorEastAsia"/>
          <w:b/>
          <w:bCs/>
          <w:i w:val="0"/>
          <w:iCs w:val="0"/>
          <w:caps w:val="0"/>
          <w:color w:val="333333"/>
          <w:spacing w:val="0"/>
          <w:sz w:val="24"/>
          <w:szCs w:val="24"/>
          <w:shd w:val="clear" w:fill="FFFFFF"/>
        </w:rPr>
        <w:t>常见不良事件类型</w:t>
      </w:r>
      <w:bookmarkEnd w:id="18"/>
    </w:p>
    <w:p w14:paraId="799144A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检测结果异常</w:t>
      </w:r>
      <w:r>
        <w:rPr>
          <w:rFonts w:hint="eastAsia" w:asciiTheme="minorEastAsia" w:hAnsiTheme="minorEastAsia" w:eastAsiaTheme="minorEastAsia" w:cstheme="minorEastAsia"/>
          <w:i w:val="0"/>
          <w:iCs w:val="0"/>
          <w:caps w:val="0"/>
          <w:color w:val="333333"/>
          <w:spacing w:val="0"/>
          <w:sz w:val="24"/>
          <w:szCs w:val="24"/>
          <w:shd w:val="clear" w:fill="FFFFFF"/>
        </w:rPr>
        <w:t>‌：占报告问题的35%，主要由设备校准不当或试剂问题引起</w:t>
      </w:r>
    </w:p>
    <w:p w14:paraId="5E31CCF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设备故障问题</w:t>
      </w:r>
      <w:r>
        <w:rPr>
          <w:rFonts w:hint="eastAsia" w:asciiTheme="minorEastAsia" w:hAnsiTheme="minorEastAsia" w:eastAsiaTheme="minorEastAsia" w:cstheme="minorEastAsia"/>
          <w:i w:val="0"/>
          <w:iCs w:val="0"/>
          <w:caps w:val="0"/>
          <w:color w:val="333333"/>
          <w:spacing w:val="0"/>
          <w:sz w:val="24"/>
          <w:szCs w:val="24"/>
          <w:shd w:val="clear" w:fill="FFFFFF"/>
        </w:rPr>
        <w:t>‌：占28%，包括机械故障和电子元件老化</w:t>
      </w:r>
    </w:p>
    <w:p w14:paraId="40787BC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操作失误问题</w:t>
      </w:r>
      <w:r>
        <w:rPr>
          <w:rFonts w:hint="eastAsia" w:asciiTheme="minorEastAsia" w:hAnsiTheme="minorEastAsia" w:eastAsiaTheme="minorEastAsia" w:cstheme="minorEastAsia"/>
          <w:i w:val="0"/>
          <w:iCs w:val="0"/>
          <w:caps w:val="0"/>
          <w:color w:val="333333"/>
          <w:spacing w:val="0"/>
          <w:sz w:val="24"/>
          <w:szCs w:val="24"/>
          <w:shd w:val="clear" w:fill="FFFFFF"/>
        </w:rPr>
        <w:t>‌：占22%，多为培训不足或注意力不集中导致</w:t>
      </w:r>
    </w:p>
    <w:p w14:paraId="53AF84E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软件问题</w:t>
      </w:r>
      <w:r>
        <w:rPr>
          <w:rFonts w:hint="eastAsia" w:asciiTheme="minorEastAsia" w:hAnsiTheme="minorEastAsia" w:eastAsiaTheme="minorEastAsia" w:cstheme="minorEastAsia"/>
          <w:i w:val="0"/>
          <w:iCs w:val="0"/>
          <w:caps w:val="0"/>
          <w:color w:val="333333"/>
          <w:spacing w:val="0"/>
          <w:sz w:val="24"/>
          <w:szCs w:val="24"/>
          <w:shd w:val="clear" w:fill="FFFFFF"/>
        </w:rPr>
        <w:t>‌：占15%，包括系统崩溃或数据错误</w:t>
      </w:r>
    </w:p>
    <w:p w14:paraId="571F7290">
      <w:pPr>
        <w:pStyle w:val="5"/>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95" w:beforeAutospacing="0" w:after="90" w:afterAutospacing="0" w:line="450" w:lineRule="atLeast"/>
        <w:ind w:leftChars="0" w:right="0" w:rightChars="0"/>
        <w:jc w:val="left"/>
        <w:rPr>
          <w:rFonts w:hint="eastAsia" w:asciiTheme="minorEastAsia" w:hAnsiTheme="minorEastAsia" w:eastAsiaTheme="minorEastAsia" w:cstheme="minorEastAsia"/>
          <w:b/>
          <w:bCs/>
          <w:i w:val="0"/>
          <w:iCs w:val="0"/>
          <w:caps w:val="0"/>
          <w:color w:val="333333"/>
          <w:spacing w:val="0"/>
          <w:sz w:val="24"/>
          <w:szCs w:val="24"/>
        </w:rPr>
      </w:pPr>
      <w:bookmarkStart w:id="19" w:name="_Toc2622"/>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4.7.2</w:t>
      </w:r>
      <w:r>
        <w:rPr>
          <w:rFonts w:hint="eastAsia" w:asciiTheme="minorEastAsia" w:hAnsiTheme="minorEastAsia" w:eastAsiaTheme="minorEastAsia" w:cstheme="minorEastAsia"/>
          <w:b/>
          <w:bCs/>
          <w:i w:val="0"/>
          <w:iCs w:val="0"/>
          <w:caps w:val="0"/>
          <w:color w:val="333333"/>
          <w:spacing w:val="0"/>
          <w:sz w:val="24"/>
          <w:szCs w:val="24"/>
          <w:shd w:val="clear" w:fill="FFFFFF"/>
        </w:rPr>
        <w:t xml:space="preserve"> 文献分析结果</w:t>
      </w:r>
      <w:bookmarkEnd w:id="19"/>
    </w:p>
    <w:p w14:paraId="107750F2">
      <w:pPr>
        <w:pStyle w:val="6"/>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rightChars="0" w:hanging="425" w:firstLineChars="0"/>
        <w:jc w:val="left"/>
        <w:rPr>
          <w:rFonts w:hint="eastAsia" w:asciiTheme="minorEastAsia" w:hAnsiTheme="minorEastAsia" w:eastAsiaTheme="minorEastAsia" w:cstheme="minorEastAsia"/>
          <w:b/>
          <w:bCs/>
          <w:i w:val="0"/>
          <w:iCs w:val="0"/>
          <w:caps w:val="0"/>
          <w:color w:val="333333"/>
          <w:spacing w:val="0"/>
          <w:sz w:val="24"/>
          <w:szCs w:val="24"/>
        </w:rPr>
      </w:pPr>
      <w:r>
        <w:rPr>
          <w:rFonts w:hint="eastAsia" w:asciiTheme="minorEastAsia" w:hAnsiTheme="minorEastAsia" w:eastAsiaTheme="minorEastAsia" w:cstheme="minorEastAsia"/>
          <w:b/>
          <w:bCs/>
          <w:i w:val="0"/>
          <w:iCs w:val="0"/>
          <w:caps w:val="0"/>
          <w:color w:val="333333"/>
          <w:spacing w:val="0"/>
          <w:sz w:val="24"/>
          <w:szCs w:val="24"/>
          <w:shd w:val="clear" w:fill="FFFFFF"/>
        </w:rPr>
        <w:t>主要使用问题分类</w:t>
      </w:r>
    </w:p>
    <w:tbl>
      <w:tblPr>
        <w:tblStyle w:val="18"/>
        <w:tblW w:w="9004" w:type="dxa"/>
        <w:jc w:val="center"/>
        <w:tblCellSpacing w:w="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blLayout w:type="autofit"/>
        <w:tblCellMar>
          <w:top w:w="80" w:type="dxa"/>
          <w:left w:w="128" w:type="dxa"/>
          <w:bottom w:w="80" w:type="dxa"/>
          <w:right w:w="128" w:type="dxa"/>
        </w:tblCellMar>
      </w:tblPr>
      <w:tblGrid>
        <w:gridCol w:w="2278"/>
        <w:gridCol w:w="5067"/>
        <w:gridCol w:w="1659"/>
      </w:tblGrid>
      <w:tr w14:paraId="43AA9F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blCellMar>
            <w:top w:w="80" w:type="dxa"/>
            <w:left w:w="128" w:type="dxa"/>
            <w:bottom w:w="80" w:type="dxa"/>
            <w:right w:w="128" w:type="dxa"/>
          </w:tblCellMar>
        </w:tblPrEx>
        <w:trPr>
          <w:trHeight w:val="0" w:hRule="atLeast"/>
          <w:tblHeader/>
          <w:tblCellSpacing w:w="15" w:type="dxa"/>
          <w:jc w:val="center"/>
        </w:trPr>
        <w:tc>
          <w:tcPr>
            <w:tcW w:w="2233" w:type="dxa"/>
            <w:tcBorders>
              <w:top w:val="single" w:color="auto" w:sz="12" w:space="0"/>
              <w:left w:val="nil"/>
              <w:bottom w:val="single" w:color="auto" w:sz="4" w:space="0"/>
              <w:right w:val="nil"/>
              <w:tl2br w:val="nil"/>
              <w:tr2bl w:val="nil"/>
            </w:tcBorders>
            <w:shd w:val="clear" w:color="auto" w:fill="FFFFFF"/>
            <w:noWrap/>
            <w:vAlign w:val="center"/>
          </w:tcPr>
          <w:p w14:paraId="50B6545E">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i w:val="0"/>
                <w:iCs w:val="0"/>
                <w:caps w:val="0"/>
                <w:color w:val="000000"/>
                <w:spacing w:val="0"/>
                <w:sz w:val="24"/>
                <w:szCs w:val="24"/>
                <w:highlight w:val="none"/>
              </w:rPr>
            </w:pPr>
            <w:r>
              <w:rPr>
                <w:rFonts w:hint="eastAsia" w:ascii="宋体" w:eastAsia="宋体" w:hAnsiTheme="minorEastAsia" w:cstheme="minorEastAsia"/>
                <w:b/>
                <w:i w:val="0"/>
                <w:iCs w:val="0"/>
                <w:caps w:val="0"/>
                <w:color w:val="000000"/>
                <w:spacing w:val="0"/>
                <w:kern w:val="0"/>
                <w:sz w:val="24"/>
                <w:szCs w:val="24"/>
                <w:highlight w:val="none"/>
                <w:lang w:val="en-US" w:eastAsia="zh-CN" w:bidi="ar"/>
              </w:rPr>
              <w:t>问题类型</w:t>
            </w:r>
          </w:p>
        </w:tc>
        <w:tc>
          <w:tcPr>
            <w:tcW w:w="5037" w:type="dxa"/>
            <w:tcBorders>
              <w:top w:val="single" w:color="auto" w:sz="12" w:space="0"/>
              <w:left w:val="nil"/>
              <w:bottom w:val="single" w:color="auto" w:sz="4" w:space="0"/>
              <w:right w:val="nil"/>
              <w:tl2br w:val="nil"/>
              <w:tr2bl w:val="nil"/>
            </w:tcBorders>
            <w:shd w:val="clear" w:color="auto" w:fill="FFFFFF"/>
            <w:noWrap/>
            <w:vAlign w:val="center"/>
          </w:tcPr>
          <w:p w14:paraId="13BDBF52">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i w:val="0"/>
                <w:iCs w:val="0"/>
                <w:caps w:val="0"/>
                <w:color w:val="000000"/>
                <w:spacing w:val="0"/>
                <w:sz w:val="24"/>
                <w:szCs w:val="24"/>
                <w:highlight w:val="none"/>
              </w:rPr>
            </w:pPr>
            <w:r>
              <w:rPr>
                <w:rFonts w:hint="eastAsia" w:ascii="宋体" w:eastAsia="宋体" w:hAnsiTheme="minorEastAsia" w:cstheme="minorEastAsia"/>
                <w:b/>
                <w:i w:val="0"/>
                <w:iCs w:val="0"/>
                <w:caps w:val="0"/>
                <w:color w:val="000000"/>
                <w:spacing w:val="0"/>
                <w:kern w:val="0"/>
                <w:sz w:val="24"/>
                <w:szCs w:val="24"/>
                <w:highlight w:val="none"/>
                <w:lang w:val="en-US" w:eastAsia="zh-CN" w:bidi="ar"/>
              </w:rPr>
              <w:t>具体表现</w:t>
            </w:r>
          </w:p>
        </w:tc>
        <w:tc>
          <w:tcPr>
            <w:tcW w:w="1614" w:type="dxa"/>
            <w:tcBorders>
              <w:top w:val="single" w:color="auto" w:sz="12" w:space="0"/>
              <w:left w:val="nil"/>
              <w:bottom w:val="single" w:color="auto" w:sz="4" w:space="0"/>
              <w:right w:val="nil"/>
              <w:tl2br w:val="nil"/>
              <w:tr2bl w:val="nil"/>
            </w:tcBorders>
            <w:shd w:val="clear" w:color="auto" w:fill="FFFFFF"/>
            <w:noWrap/>
            <w:vAlign w:val="center"/>
          </w:tcPr>
          <w:p w14:paraId="6D095770">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i w:val="0"/>
                <w:iCs w:val="0"/>
                <w:caps w:val="0"/>
                <w:color w:val="000000"/>
                <w:spacing w:val="0"/>
                <w:sz w:val="24"/>
                <w:szCs w:val="24"/>
                <w:highlight w:val="none"/>
              </w:rPr>
            </w:pPr>
            <w:r>
              <w:rPr>
                <w:rFonts w:hint="eastAsia" w:ascii="宋体" w:eastAsia="宋体" w:hAnsiTheme="minorEastAsia" w:cstheme="minorEastAsia"/>
                <w:b/>
                <w:i w:val="0"/>
                <w:iCs w:val="0"/>
                <w:caps w:val="0"/>
                <w:color w:val="000000"/>
                <w:spacing w:val="0"/>
                <w:kern w:val="0"/>
                <w:sz w:val="24"/>
                <w:szCs w:val="24"/>
                <w:highlight w:val="none"/>
                <w:lang w:val="en-US" w:eastAsia="zh-CN" w:bidi="ar"/>
              </w:rPr>
              <w:t>影响程度</w:t>
            </w:r>
          </w:p>
        </w:tc>
      </w:tr>
      <w:tr w14:paraId="14BC05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0" w:type="dxa"/>
            <w:left w:w="128" w:type="dxa"/>
            <w:bottom w:w="80" w:type="dxa"/>
            <w:right w:w="128" w:type="dxa"/>
          </w:tblCellMar>
        </w:tblPrEx>
        <w:trPr>
          <w:trHeight w:val="0" w:hRule="atLeast"/>
          <w:tblCellSpacing w:w="15" w:type="dxa"/>
          <w:jc w:val="center"/>
        </w:trPr>
        <w:tc>
          <w:tcPr>
            <w:tcW w:w="2233" w:type="dxa"/>
            <w:tcBorders>
              <w:top w:val="nil"/>
              <w:left w:val="nil"/>
              <w:bottom w:val="nil"/>
              <w:right w:val="nil"/>
              <w:tl2br w:val="nil"/>
              <w:tr2bl w:val="nil"/>
            </w:tcBorders>
            <w:shd w:val="clear" w:color="auto" w:fill="FFFFFF"/>
            <w:vAlign w:val="center"/>
          </w:tcPr>
          <w:p w14:paraId="2C952C40">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参数设置问题</w:t>
            </w:r>
          </w:p>
        </w:tc>
        <w:tc>
          <w:tcPr>
            <w:tcW w:w="5037" w:type="dxa"/>
            <w:tcBorders>
              <w:top w:val="nil"/>
              <w:left w:val="nil"/>
              <w:bottom w:val="nil"/>
              <w:right w:val="nil"/>
              <w:tl2br w:val="nil"/>
              <w:tr2bl w:val="nil"/>
            </w:tcBorders>
            <w:shd w:val="clear" w:color="auto" w:fill="FFFFFF"/>
            <w:vAlign w:val="center"/>
          </w:tcPr>
          <w:p w14:paraId="193C1194">
            <w:pPr>
              <w:keepNext w:val="0"/>
              <w:keepLines w:val="0"/>
              <w:widowControl/>
              <w:suppressLineNumbers w:val="0"/>
              <w:snapToGrid w:val="0"/>
              <w:spacing w:before="0" w:beforeAutospacing="0" w:after="0" w:afterAutospacing="0"/>
              <w:ind w:left="0" w:right="0"/>
              <w:jc w:val="left"/>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试剂参数变更频繁且未及时通告</w:t>
            </w:r>
          </w:p>
        </w:tc>
        <w:tc>
          <w:tcPr>
            <w:tcW w:w="1614" w:type="dxa"/>
            <w:tcBorders>
              <w:top w:val="nil"/>
              <w:left w:val="nil"/>
              <w:bottom w:val="nil"/>
              <w:right w:val="nil"/>
              <w:tl2br w:val="nil"/>
              <w:tr2bl w:val="nil"/>
            </w:tcBorders>
            <w:shd w:val="clear" w:color="auto" w:fill="FFFFFF"/>
            <w:vAlign w:val="center"/>
          </w:tcPr>
          <w:p w14:paraId="44E44802">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高</w:t>
            </w:r>
          </w:p>
        </w:tc>
      </w:tr>
      <w:tr w14:paraId="4B229B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0" w:type="dxa"/>
            <w:left w:w="128" w:type="dxa"/>
            <w:bottom w:w="80" w:type="dxa"/>
            <w:right w:w="128" w:type="dxa"/>
          </w:tblCellMar>
        </w:tblPrEx>
        <w:trPr>
          <w:trHeight w:val="0" w:hRule="atLeast"/>
          <w:tblCellSpacing w:w="15" w:type="dxa"/>
          <w:jc w:val="center"/>
        </w:trPr>
        <w:tc>
          <w:tcPr>
            <w:tcW w:w="2233" w:type="dxa"/>
            <w:tcBorders>
              <w:top w:val="nil"/>
              <w:left w:val="nil"/>
              <w:bottom w:val="nil"/>
              <w:right w:val="nil"/>
              <w:tl2br w:val="nil"/>
              <w:tr2bl w:val="nil"/>
            </w:tcBorders>
            <w:shd w:val="clear" w:color="auto" w:fill="FFFFFF"/>
            <w:vAlign w:val="center"/>
          </w:tcPr>
          <w:p w14:paraId="73C16378">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交叉污染</w:t>
            </w:r>
          </w:p>
        </w:tc>
        <w:tc>
          <w:tcPr>
            <w:tcW w:w="5037" w:type="dxa"/>
            <w:tcBorders>
              <w:top w:val="nil"/>
              <w:left w:val="nil"/>
              <w:bottom w:val="nil"/>
              <w:right w:val="nil"/>
              <w:tl2br w:val="nil"/>
              <w:tr2bl w:val="nil"/>
            </w:tcBorders>
            <w:shd w:val="clear" w:color="auto" w:fill="FFFFFF"/>
            <w:vAlign w:val="center"/>
          </w:tcPr>
          <w:p w14:paraId="430BD77C">
            <w:pPr>
              <w:keepNext w:val="0"/>
              <w:keepLines w:val="0"/>
              <w:widowControl/>
              <w:suppressLineNumbers w:val="0"/>
              <w:snapToGrid w:val="0"/>
              <w:spacing w:before="0" w:beforeAutospacing="0" w:after="0" w:afterAutospacing="0"/>
              <w:ind w:left="0" w:right="0"/>
              <w:jc w:val="left"/>
              <w:rPr>
                <w:rFonts w:hint="default" w:ascii="宋体" w:eastAsia="宋体" w:hAnsiTheme="minorEastAsia" w:cstheme="minorEastAsia"/>
                <w:b w:val="0"/>
                <w:i w:val="0"/>
                <w:iCs w:val="0"/>
                <w:caps w:val="0"/>
                <w:color w:val="000000"/>
                <w:spacing w:val="0"/>
                <w:sz w:val="24"/>
                <w:szCs w:val="24"/>
                <w:highlight w:val="none"/>
                <w:lang w:val="en-US"/>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试剂针清洗不彻底导致携带污染（用一次性吸头，不存在这个事情）</w:t>
            </w:r>
          </w:p>
        </w:tc>
        <w:tc>
          <w:tcPr>
            <w:tcW w:w="1614" w:type="dxa"/>
            <w:tcBorders>
              <w:top w:val="nil"/>
              <w:left w:val="nil"/>
              <w:bottom w:val="nil"/>
              <w:right w:val="nil"/>
              <w:tl2br w:val="nil"/>
              <w:tr2bl w:val="nil"/>
            </w:tcBorders>
            <w:shd w:val="clear" w:color="auto" w:fill="FFFFFF"/>
            <w:vAlign w:val="center"/>
          </w:tcPr>
          <w:p w14:paraId="33DEDCF8">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中高</w:t>
            </w:r>
          </w:p>
        </w:tc>
      </w:tr>
      <w:tr w14:paraId="724461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0" w:type="dxa"/>
            <w:left w:w="128" w:type="dxa"/>
            <w:bottom w:w="80" w:type="dxa"/>
            <w:right w:w="128" w:type="dxa"/>
          </w:tblCellMar>
        </w:tblPrEx>
        <w:trPr>
          <w:trHeight w:val="0" w:hRule="atLeast"/>
          <w:tblCellSpacing w:w="15" w:type="dxa"/>
          <w:jc w:val="center"/>
        </w:trPr>
        <w:tc>
          <w:tcPr>
            <w:tcW w:w="2233" w:type="dxa"/>
            <w:tcBorders>
              <w:top w:val="nil"/>
              <w:left w:val="nil"/>
              <w:bottom w:val="nil"/>
              <w:right w:val="nil"/>
              <w:tl2br w:val="nil"/>
              <w:tr2bl w:val="nil"/>
            </w:tcBorders>
            <w:shd w:val="clear" w:color="auto" w:fill="FFFFFF"/>
            <w:vAlign w:val="center"/>
          </w:tcPr>
          <w:p w14:paraId="56664A17">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水质影响</w:t>
            </w:r>
          </w:p>
        </w:tc>
        <w:tc>
          <w:tcPr>
            <w:tcW w:w="5037" w:type="dxa"/>
            <w:tcBorders>
              <w:top w:val="nil"/>
              <w:left w:val="nil"/>
              <w:bottom w:val="nil"/>
              <w:right w:val="nil"/>
              <w:tl2br w:val="nil"/>
              <w:tr2bl w:val="nil"/>
            </w:tcBorders>
            <w:shd w:val="clear" w:color="auto" w:fill="FFFFFF"/>
            <w:vAlign w:val="center"/>
          </w:tcPr>
          <w:p w14:paraId="27CF4076">
            <w:pPr>
              <w:keepNext w:val="0"/>
              <w:keepLines w:val="0"/>
              <w:widowControl/>
              <w:suppressLineNumbers w:val="0"/>
              <w:snapToGrid w:val="0"/>
              <w:spacing w:before="0" w:beforeAutospacing="0" w:after="0" w:afterAutospacing="0"/>
              <w:ind w:left="0" w:right="0"/>
              <w:jc w:val="left"/>
              <w:rPr>
                <w:rFonts w:hint="default" w:ascii="宋体" w:eastAsia="宋体" w:hAnsiTheme="minorEastAsia" w:cstheme="minorEastAsia"/>
                <w:b w:val="0"/>
                <w:i w:val="0"/>
                <w:iCs w:val="0"/>
                <w:caps w:val="0"/>
                <w:color w:val="000000"/>
                <w:spacing w:val="0"/>
                <w:sz w:val="24"/>
                <w:szCs w:val="24"/>
                <w:highlight w:val="none"/>
                <w:lang w:val="en-US"/>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去离子水电阻率下降影响检测结果（无清洗，不存在这个问题）</w:t>
            </w:r>
          </w:p>
        </w:tc>
        <w:tc>
          <w:tcPr>
            <w:tcW w:w="1614" w:type="dxa"/>
            <w:tcBorders>
              <w:top w:val="nil"/>
              <w:left w:val="nil"/>
              <w:bottom w:val="nil"/>
              <w:right w:val="nil"/>
              <w:tl2br w:val="nil"/>
              <w:tr2bl w:val="nil"/>
            </w:tcBorders>
            <w:shd w:val="clear" w:color="auto" w:fill="FFFFFF"/>
            <w:vAlign w:val="center"/>
          </w:tcPr>
          <w:p w14:paraId="6935F340">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中</w:t>
            </w:r>
          </w:p>
        </w:tc>
      </w:tr>
      <w:tr w14:paraId="1257CD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0" w:type="dxa"/>
            <w:left w:w="128" w:type="dxa"/>
            <w:bottom w:w="80" w:type="dxa"/>
            <w:right w:w="128" w:type="dxa"/>
          </w:tblCellMar>
        </w:tblPrEx>
        <w:trPr>
          <w:trHeight w:val="0" w:hRule="atLeast"/>
          <w:tblCellSpacing w:w="15" w:type="dxa"/>
          <w:jc w:val="center"/>
        </w:trPr>
        <w:tc>
          <w:tcPr>
            <w:tcW w:w="2233" w:type="dxa"/>
            <w:tcBorders>
              <w:top w:val="nil"/>
              <w:left w:val="nil"/>
              <w:bottom w:val="nil"/>
              <w:right w:val="nil"/>
              <w:tl2br w:val="nil"/>
              <w:tr2bl w:val="nil"/>
            </w:tcBorders>
            <w:shd w:val="clear" w:color="auto" w:fill="FFFFFF"/>
            <w:vAlign w:val="center"/>
          </w:tcPr>
          <w:p w14:paraId="350CF854">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标本处理</w:t>
            </w:r>
          </w:p>
        </w:tc>
        <w:tc>
          <w:tcPr>
            <w:tcW w:w="5037" w:type="dxa"/>
            <w:tcBorders>
              <w:top w:val="nil"/>
              <w:left w:val="nil"/>
              <w:bottom w:val="nil"/>
              <w:right w:val="nil"/>
              <w:tl2br w:val="nil"/>
              <w:tr2bl w:val="nil"/>
            </w:tcBorders>
            <w:shd w:val="clear" w:color="auto" w:fill="FFFFFF"/>
            <w:vAlign w:val="center"/>
          </w:tcPr>
          <w:p w14:paraId="6D39069B">
            <w:pPr>
              <w:keepNext w:val="0"/>
              <w:keepLines w:val="0"/>
              <w:widowControl/>
              <w:suppressLineNumbers w:val="0"/>
              <w:snapToGrid w:val="0"/>
              <w:spacing w:before="0" w:beforeAutospacing="0" w:after="0" w:afterAutospacing="0"/>
              <w:ind w:left="0" w:right="0"/>
              <w:jc w:val="left"/>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标本分离不及时导致结果偏差</w:t>
            </w:r>
          </w:p>
        </w:tc>
        <w:tc>
          <w:tcPr>
            <w:tcW w:w="1614" w:type="dxa"/>
            <w:tcBorders>
              <w:top w:val="nil"/>
              <w:left w:val="nil"/>
              <w:bottom w:val="nil"/>
              <w:right w:val="nil"/>
              <w:tl2br w:val="nil"/>
              <w:tr2bl w:val="nil"/>
            </w:tcBorders>
            <w:shd w:val="clear" w:color="auto" w:fill="FFFFFF"/>
            <w:vAlign w:val="center"/>
          </w:tcPr>
          <w:p w14:paraId="3444EE17">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中</w:t>
            </w:r>
          </w:p>
        </w:tc>
      </w:tr>
      <w:tr w14:paraId="47411E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0" w:type="dxa"/>
            <w:left w:w="128" w:type="dxa"/>
            <w:bottom w:w="80" w:type="dxa"/>
            <w:right w:w="128" w:type="dxa"/>
          </w:tblCellMar>
        </w:tblPrEx>
        <w:trPr>
          <w:trHeight w:val="0" w:hRule="atLeast"/>
          <w:tblCellSpacing w:w="15" w:type="dxa"/>
          <w:jc w:val="center"/>
        </w:trPr>
        <w:tc>
          <w:tcPr>
            <w:tcW w:w="2233" w:type="dxa"/>
            <w:tcBorders>
              <w:top w:val="nil"/>
              <w:left w:val="nil"/>
              <w:bottom w:val="single" w:color="auto" w:sz="12" w:space="0"/>
              <w:right w:val="nil"/>
              <w:tl2br w:val="nil"/>
              <w:tr2bl w:val="nil"/>
            </w:tcBorders>
            <w:shd w:val="clear" w:color="auto" w:fill="FFFFFF"/>
            <w:vAlign w:val="center"/>
          </w:tcPr>
          <w:p w14:paraId="3EEF5CC0">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设备维护</w:t>
            </w:r>
          </w:p>
        </w:tc>
        <w:tc>
          <w:tcPr>
            <w:tcW w:w="5037" w:type="dxa"/>
            <w:tcBorders>
              <w:top w:val="nil"/>
              <w:left w:val="nil"/>
              <w:bottom w:val="single" w:color="auto" w:sz="12" w:space="0"/>
              <w:right w:val="nil"/>
              <w:tl2br w:val="nil"/>
              <w:tr2bl w:val="nil"/>
            </w:tcBorders>
            <w:shd w:val="clear" w:color="auto" w:fill="FFFFFF"/>
            <w:vAlign w:val="center"/>
          </w:tcPr>
          <w:p w14:paraId="15DB6683">
            <w:pPr>
              <w:keepNext w:val="0"/>
              <w:keepLines w:val="0"/>
              <w:widowControl/>
              <w:suppressLineNumbers w:val="0"/>
              <w:snapToGrid w:val="0"/>
              <w:spacing w:before="0" w:beforeAutospacing="0" w:after="0" w:afterAutospacing="0"/>
              <w:ind w:left="0" w:right="0"/>
              <w:jc w:val="left"/>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灯泡老化未更换影响检测波长</w:t>
            </w:r>
          </w:p>
        </w:tc>
        <w:tc>
          <w:tcPr>
            <w:tcW w:w="1614" w:type="dxa"/>
            <w:tcBorders>
              <w:top w:val="nil"/>
              <w:left w:val="nil"/>
              <w:bottom w:val="single" w:color="auto" w:sz="12" w:space="0"/>
              <w:right w:val="nil"/>
              <w:tl2br w:val="nil"/>
              <w:tr2bl w:val="nil"/>
            </w:tcBorders>
            <w:shd w:val="clear" w:color="auto" w:fill="FFFFFF"/>
            <w:vAlign w:val="center"/>
          </w:tcPr>
          <w:p w14:paraId="5FC22AD0">
            <w:pPr>
              <w:keepNext w:val="0"/>
              <w:keepLines w:val="0"/>
              <w:widowControl/>
              <w:suppressLineNumbers w:val="0"/>
              <w:snapToGrid w:val="0"/>
              <w:spacing w:before="0" w:beforeAutospacing="0" w:after="0" w:afterAutospacing="0"/>
              <w:ind w:left="0" w:right="0"/>
              <w:jc w:val="center"/>
              <w:rPr>
                <w:rFonts w:hint="eastAsia" w:ascii="宋体" w:eastAsia="宋体" w:hAnsiTheme="minorEastAsia" w:cstheme="minorEastAsia"/>
                <w:b w:val="0"/>
                <w:i w:val="0"/>
                <w:iCs w:val="0"/>
                <w:caps w:val="0"/>
                <w:color w:val="000000"/>
                <w:spacing w:val="0"/>
                <w:sz w:val="24"/>
                <w:szCs w:val="24"/>
                <w:highlight w:val="none"/>
              </w:rPr>
            </w:pPr>
            <w:r>
              <w:rPr>
                <w:rFonts w:hint="eastAsia" w:ascii="宋体" w:eastAsia="宋体" w:hAnsiTheme="minorEastAsia" w:cstheme="minorEastAsia"/>
                <w:b w:val="0"/>
                <w:i w:val="0"/>
                <w:iCs w:val="0"/>
                <w:caps w:val="0"/>
                <w:color w:val="000000"/>
                <w:spacing w:val="0"/>
                <w:kern w:val="0"/>
                <w:sz w:val="24"/>
                <w:szCs w:val="24"/>
                <w:highlight w:val="none"/>
                <w:lang w:val="en-US" w:eastAsia="zh-CN" w:bidi="ar"/>
              </w:rPr>
              <w:t>中</w:t>
            </w:r>
          </w:p>
        </w:tc>
      </w:tr>
    </w:tbl>
    <w:p w14:paraId="5CF1B836">
      <w:pPr>
        <w:pStyle w:val="6"/>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rightChars="0" w:hanging="425" w:firstLineChars="0"/>
        <w:jc w:val="left"/>
        <w:rPr>
          <w:rFonts w:hint="eastAsia" w:asciiTheme="minorEastAsia" w:hAnsiTheme="minorEastAsia" w:eastAsiaTheme="minorEastAsia" w:cstheme="minorEastAsia"/>
          <w:b/>
          <w:bCs/>
          <w:i w:val="0"/>
          <w:iCs w:val="0"/>
          <w:caps w:val="0"/>
          <w:color w:val="333333"/>
          <w:spacing w:val="0"/>
          <w:sz w:val="24"/>
          <w:szCs w:val="24"/>
          <w:shd w:val="clear" w:fill="FFFFFF"/>
        </w:rPr>
      </w:pPr>
      <w:r>
        <w:rPr>
          <w:rFonts w:hint="eastAsia" w:asciiTheme="minorEastAsia" w:hAnsiTheme="minorEastAsia" w:eastAsiaTheme="minorEastAsia" w:cstheme="minorEastAsia"/>
          <w:b/>
          <w:bCs/>
          <w:i w:val="0"/>
          <w:iCs w:val="0"/>
          <w:caps w:val="0"/>
          <w:color w:val="333333"/>
          <w:spacing w:val="0"/>
          <w:sz w:val="24"/>
          <w:szCs w:val="24"/>
          <w:shd w:val="clear" w:fill="FFFFFF"/>
        </w:rPr>
        <w:t xml:space="preserve"> 核心文献分析结论</w:t>
      </w:r>
    </w:p>
    <w:p w14:paraId="02C7F6C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eastAsia" w:asciiTheme="minorEastAsia" w:hAnsiTheme="minorEastAsia" w:eastAsiaTheme="minorEastAsia" w:cstheme="minorEastAsia"/>
          <w:i w:val="0"/>
          <w:iCs w:val="0"/>
          <w:caps w:val="0"/>
          <w:color w:val="333333"/>
          <w:spacing w:val="0"/>
          <w:sz w:val="24"/>
          <w:szCs w:val="24"/>
          <w:shd w:val="clear" w:fill="FFFFFF"/>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参数设置问题</w:t>
      </w:r>
      <w:r>
        <w:rPr>
          <w:rFonts w:hint="eastAsia" w:asciiTheme="minorEastAsia" w:hAnsiTheme="minorEastAsia" w:eastAsiaTheme="minorEastAsia" w:cstheme="minorEastAsia"/>
          <w:i w:val="0"/>
          <w:iCs w:val="0"/>
          <w:caps w:val="0"/>
          <w:color w:val="333333"/>
          <w:spacing w:val="0"/>
          <w:sz w:val="24"/>
          <w:szCs w:val="24"/>
          <w:shd w:val="clear" w:fill="FFFFFF"/>
        </w:rPr>
        <w:t>‌：研究发现试剂参数变更频繁且未及时通告是导致检测结果偏差的主要原因之一。部分试剂参数与仪器设置参数不一致，影响检测准确性。</w:t>
      </w:r>
    </w:p>
    <w:p w14:paraId="025AA2F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default"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cstheme="minorEastAsia"/>
          <w:i w:val="0"/>
          <w:iCs w:val="0"/>
          <w:caps w:val="0"/>
          <w:color w:val="333333"/>
          <w:spacing w:val="0"/>
          <w:sz w:val="24"/>
          <w:szCs w:val="24"/>
          <w:shd w:val="clear" w:fill="FFFFFF"/>
          <w:lang w:val="en-US" w:eastAsia="zh-CN"/>
        </w:rPr>
        <w:t>改进措施：产品与试剂配套设计，参数唯一，无需更改。</w:t>
      </w:r>
    </w:p>
    <w:p w14:paraId="34D7E06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eastAsia" w:asciiTheme="minorEastAsia" w:hAnsiTheme="minorEastAsia" w:eastAsiaTheme="minorEastAsia" w:cstheme="minorEastAsia"/>
          <w:i w:val="0"/>
          <w:iCs w:val="0"/>
          <w:caps w:val="0"/>
          <w:color w:val="333333"/>
          <w:spacing w:val="0"/>
          <w:sz w:val="24"/>
          <w:szCs w:val="24"/>
          <w:highlight w:val="none"/>
          <w:shd w:val="clear" w:fill="FFFFFF"/>
        </w:rPr>
      </w:pPr>
      <w:r>
        <w:rPr>
          <w:rFonts w:hint="eastAsia" w:asciiTheme="minorEastAsia" w:hAnsiTheme="minorEastAsia" w:eastAsiaTheme="minorEastAsia" w:cstheme="minorEastAsia"/>
          <w:i w:val="0"/>
          <w:iCs w:val="0"/>
          <w:caps w:val="0"/>
          <w:color w:val="333333"/>
          <w:spacing w:val="0"/>
          <w:sz w:val="24"/>
          <w:szCs w:val="24"/>
          <w:highlight w:val="none"/>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highlight w:val="none"/>
          <w:shd w:val="clear" w:fill="FFFFFF"/>
        </w:rPr>
        <w:t>交叉污染机制</w:t>
      </w:r>
      <w:r>
        <w:rPr>
          <w:rFonts w:hint="eastAsia" w:asciiTheme="minorEastAsia" w:hAnsiTheme="minorEastAsia" w:eastAsiaTheme="minorEastAsia" w:cstheme="minorEastAsia"/>
          <w:i w:val="0"/>
          <w:iCs w:val="0"/>
          <w:caps w:val="0"/>
          <w:color w:val="333333"/>
          <w:spacing w:val="0"/>
          <w:sz w:val="24"/>
          <w:szCs w:val="24"/>
          <w:highlight w:val="none"/>
          <w:shd w:val="clear" w:fill="FFFFFF"/>
        </w:rPr>
        <w:t>‌：全自动生化分析仪试剂针难以彻底清洗干净，容易造成分析项目的携带污染。尤其在没有自动冲洗程序的仪器上，前带现象更为明显。</w:t>
      </w:r>
    </w:p>
    <w:p w14:paraId="6CE1D88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default" w:asciiTheme="minorEastAsia" w:hAnsiTheme="minorEastAsia" w:eastAsiaTheme="minorEastAsia" w:cstheme="minorEastAsia"/>
          <w:i w:val="0"/>
          <w:iCs w:val="0"/>
          <w:caps w:val="0"/>
          <w:color w:val="333333"/>
          <w:spacing w:val="0"/>
          <w:sz w:val="24"/>
          <w:szCs w:val="24"/>
          <w:highlight w:val="none"/>
          <w:shd w:val="clear" w:fill="FFFFFF"/>
          <w:lang w:val="en-US" w:eastAsia="zh-CN"/>
        </w:rPr>
      </w:pPr>
      <w:r>
        <w:rPr>
          <w:rFonts w:hint="eastAsia" w:asciiTheme="minorEastAsia" w:hAnsiTheme="minorEastAsia" w:cstheme="minorEastAsia"/>
          <w:i w:val="0"/>
          <w:iCs w:val="0"/>
          <w:caps w:val="0"/>
          <w:color w:val="333333"/>
          <w:spacing w:val="0"/>
          <w:sz w:val="24"/>
          <w:szCs w:val="24"/>
          <w:highlight w:val="none"/>
          <w:shd w:val="clear" w:fill="FFFFFF"/>
          <w:lang w:val="en-US" w:eastAsia="zh-CN"/>
        </w:rPr>
        <w:t>改进措施：本产品一次性TIP头设计， 不需清洗，避免避免以上问题。</w:t>
      </w:r>
    </w:p>
    <w:p w14:paraId="4AC588A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eastAsia" w:asciiTheme="minorEastAsia" w:hAnsiTheme="minorEastAsia" w:eastAsiaTheme="minorEastAsia" w:cstheme="minorEastAsia"/>
          <w:i w:val="0"/>
          <w:iCs w:val="0"/>
          <w:caps w:val="0"/>
          <w:color w:val="333333"/>
          <w:spacing w:val="0"/>
          <w:sz w:val="24"/>
          <w:szCs w:val="24"/>
          <w:highlight w:val="none"/>
          <w:shd w:val="clear" w:fill="FFFFFF"/>
        </w:rPr>
      </w:pPr>
      <w:r>
        <w:rPr>
          <w:rFonts w:hint="eastAsia" w:asciiTheme="minorEastAsia" w:hAnsiTheme="minorEastAsia" w:eastAsiaTheme="minorEastAsia" w:cstheme="minorEastAsia"/>
          <w:i w:val="0"/>
          <w:iCs w:val="0"/>
          <w:caps w:val="0"/>
          <w:color w:val="333333"/>
          <w:spacing w:val="0"/>
          <w:sz w:val="24"/>
          <w:szCs w:val="24"/>
          <w:highlight w:val="none"/>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highlight w:val="none"/>
          <w:shd w:val="clear" w:fill="FFFFFF"/>
        </w:rPr>
        <w:t>水质影响</w:t>
      </w:r>
      <w:r>
        <w:rPr>
          <w:rFonts w:hint="eastAsia" w:asciiTheme="minorEastAsia" w:hAnsiTheme="minorEastAsia" w:eastAsiaTheme="minorEastAsia" w:cstheme="minorEastAsia"/>
          <w:i w:val="0"/>
          <w:iCs w:val="0"/>
          <w:caps w:val="0"/>
          <w:color w:val="333333"/>
          <w:spacing w:val="0"/>
          <w:sz w:val="24"/>
          <w:szCs w:val="24"/>
          <w:highlight w:val="none"/>
          <w:shd w:val="clear" w:fill="FFFFFF"/>
        </w:rPr>
        <w:t>‌：仪器用水的质量对检测结果有显著影响，特别是离子类项目。当电阻小于1.0MΩ时，需更换离子交换树脂或活性炭。</w:t>
      </w:r>
    </w:p>
    <w:p w14:paraId="298F388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default" w:asciiTheme="minorEastAsia" w:hAnsiTheme="minorEastAsia" w:eastAsiaTheme="minorEastAsia" w:cstheme="minorEastAsia"/>
          <w:i w:val="0"/>
          <w:iCs w:val="0"/>
          <w:caps w:val="0"/>
          <w:color w:val="333333"/>
          <w:spacing w:val="0"/>
          <w:sz w:val="24"/>
          <w:szCs w:val="24"/>
          <w:highlight w:val="none"/>
          <w:shd w:val="clear" w:fill="FFFFFF"/>
          <w:lang w:val="en-US" w:eastAsia="zh-CN"/>
        </w:rPr>
      </w:pPr>
      <w:r>
        <w:rPr>
          <w:rFonts w:hint="eastAsia" w:asciiTheme="minorEastAsia" w:hAnsiTheme="minorEastAsia" w:cstheme="minorEastAsia"/>
          <w:i w:val="0"/>
          <w:iCs w:val="0"/>
          <w:caps w:val="0"/>
          <w:color w:val="333333"/>
          <w:spacing w:val="0"/>
          <w:sz w:val="24"/>
          <w:szCs w:val="24"/>
          <w:highlight w:val="none"/>
          <w:shd w:val="clear" w:fill="FFFFFF"/>
          <w:lang w:val="en-US" w:eastAsia="zh-CN"/>
        </w:rPr>
        <w:t>改进措施：本产品一次性TIP头设计， 不需清洗，避免避免以上问题。</w:t>
      </w:r>
    </w:p>
    <w:p w14:paraId="762ADC6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i w:val="0"/>
          <w:iCs w:val="0"/>
          <w:caps w:val="0"/>
          <w:color w:val="333333"/>
          <w:spacing w:val="0"/>
          <w:sz w:val="24"/>
          <w:szCs w:val="24"/>
          <w:shd w:val="clear" w:fill="FFFFFF"/>
        </w:rPr>
        <w:t>‌</w:t>
      </w:r>
      <w:r>
        <w:rPr>
          <w:rStyle w:val="21"/>
          <w:rFonts w:hint="eastAsia" w:asciiTheme="minorEastAsia" w:hAnsiTheme="minorEastAsia" w:eastAsiaTheme="minorEastAsia" w:cstheme="minorEastAsia"/>
          <w:b/>
          <w:bCs/>
          <w:i w:val="0"/>
          <w:iCs w:val="0"/>
          <w:caps w:val="0"/>
          <w:color w:val="333333"/>
          <w:spacing w:val="0"/>
          <w:sz w:val="24"/>
          <w:szCs w:val="24"/>
          <w:shd w:val="clear" w:fill="FFFFFF"/>
        </w:rPr>
        <w:t>标本处理时效</w:t>
      </w:r>
      <w:r>
        <w:rPr>
          <w:rFonts w:hint="eastAsia" w:asciiTheme="minorEastAsia" w:hAnsiTheme="minorEastAsia" w:eastAsiaTheme="minorEastAsia" w:cstheme="minorEastAsia"/>
          <w:i w:val="0"/>
          <w:iCs w:val="0"/>
          <w:caps w:val="0"/>
          <w:color w:val="auto"/>
          <w:spacing w:val="0"/>
          <w:sz w:val="24"/>
          <w:szCs w:val="24"/>
          <w:highlight w:val="none"/>
          <w:shd w:val="clear" w:fill="FFFFFF"/>
        </w:rPr>
        <w:t>‌：</w:t>
      </w:r>
      <w:r>
        <w:rPr>
          <w:rFonts w:hint="eastAsia" w:asciiTheme="minorEastAsia" w:hAnsiTheme="minorEastAsia" w:cstheme="minorEastAsia"/>
          <w:i w:val="0"/>
          <w:iCs w:val="0"/>
          <w:caps w:val="0"/>
          <w:color w:val="auto"/>
          <w:spacing w:val="0"/>
          <w:sz w:val="24"/>
          <w:szCs w:val="24"/>
          <w:highlight w:val="none"/>
          <w:shd w:val="clear" w:fill="FFFFFF"/>
          <w:lang w:val="en-US" w:eastAsia="zh-CN"/>
        </w:rPr>
        <w:t>精浆、质控品等标本</w:t>
      </w:r>
      <w:r>
        <w:rPr>
          <w:rFonts w:hint="eastAsia" w:asciiTheme="minorEastAsia" w:hAnsiTheme="minorEastAsia" w:eastAsiaTheme="minorEastAsia" w:cstheme="minorEastAsia"/>
          <w:i w:val="0"/>
          <w:iCs w:val="0"/>
          <w:caps w:val="0"/>
          <w:color w:val="auto"/>
          <w:spacing w:val="0"/>
          <w:sz w:val="24"/>
          <w:szCs w:val="24"/>
          <w:highlight w:val="none"/>
          <w:shd w:val="clear" w:fill="FFFFFF"/>
        </w:rPr>
        <w:t>存放时间越长，红细胞无氧酵解产生的丙酮酸会使NADH转化为NAD+，导致测定结果假性升高。建议及时分离血清并检测914。</w:t>
      </w:r>
    </w:p>
    <w:p w14:paraId="6C83C84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i w:val="0"/>
          <w:iCs w:val="0"/>
          <w:caps w:val="0"/>
          <w:color w:val="auto"/>
          <w:spacing w:val="0"/>
          <w:sz w:val="24"/>
          <w:szCs w:val="24"/>
          <w:highlight w:val="none"/>
          <w:shd w:val="clear" w:fill="FFFFFF"/>
        </w:rPr>
        <w:t>‌</w:t>
      </w:r>
      <w:r>
        <w:rPr>
          <w:rStyle w:val="21"/>
          <w:rFonts w:hint="eastAsia" w:asciiTheme="minorEastAsia" w:hAnsiTheme="minorEastAsia" w:eastAsiaTheme="minorEastAsia" w:cstheme="minorEastAsia"/>
          <w:b/>
          <w:bCs/>
          <w:i w:val="0"/>
          <w:iCs w:val="0"/>
          <w:caps w:val="0"/>
          <w:color w:val="auto"/>
          <w:spacing w:val="0"/>
          <w:sz w:val="24"/>
          <w:szCs w:val="24"/>
          <w:highlight w:val="none"/>
          <w:shd w:val="clear" w:fill="FFFFFF"/>
        </w:rPr>
        <w:t>设备维护要点</w:t>
      </w:r>
      <w:r>
        <w:rPr>
          <w:rFonts w:hint="eastAsia" w:asciiTheme="minorEastAsia" w:hAnsiTheme="minorEastAsia" w:eastAsiaTheme="minorEastAsia" w:cstheme="minorEastAsia"/>
          <w:i w:val="0"/>
          <w:iCs w:val="0"/>
          <w:caps w:val="0"/>
          <w:color w:val="auto"/>
          <w:spacing w:val="0"/>
          <w:sz w:val="24"/>
          <w:szCs w:val="24"/>
          <w:highlight w:val="none"/>
          <w:shd w:val="clear" w:fill="FFFFFF"/>
        </w:rPr>
        <w:t>‌：灯泡使用超过</w:t>
      </w:r>
      <w:r>
        <w:rPr>
          <w:rFonts w:hint="eastAsia" w:asciiTheme="minorEastAsia" w:hAnsiTheme="minorEastAsia" w:cstheme="minorEastAsia"/>
          <w:i w:val="0"/>
          <w:iCs w:val="0"/>
          <w:caps w:val="0"/>
          <w:color w:val="auto"/>
          <w:spacing w:val="0"/>
          <w:sz w:val="24"/>
          <w:szCs w:val="24"/>
          <w:highlight w:val="none"/>
          <w:shd w:val="clear" w:fill="FFFFFF"/>
          <w:lang w:val="en-US" w:eastAsia="zh-CN"/>
        </w:rPr>
        <w:t>1</w:t>
      </w:r>
      <w:r>
        <w:rPr>
          <w:rFonts w:hint="eastAsia" w:asciiTheme="minorEastAsia" w:hAnsiTheme="minorEastAsia" w:eastAsiaTheme="minorEastAsia" w:cstheme="minorEastAsia"/>
          <w:i w:val="0"/>
          <w:iCs w:val="0"/>
          <w:caps w:val="0"/>
          <w:color w:val="auto"/>
          <w:spacing w:val="0"/>
          <w:sz w:val="24"/>
          <w:szCs w:val="24"/>
          <w:highlight w:val="none"/>
          <w:shd w:val="clear" w:fill="FFFFFF"/>
        </w:rPr>
        <w:t>000小时会导致检测波长不准确，影响多个项目结果。建议建立灯泡使用时间追踪系统。</w:t>
      </w:r>
    </w:p>
    <w:p w14:paraId="7D47DD54">
      <w:pPr>
        <w:pStyle w:val="6"/>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rightChars="0" w:hanging="425" w:firstLineChars="0"/>
        <w:jc w:val="left"/>
        <w:rPr>
          <w:rFonts w:hint="eastAsia" w:asciiTheme="minorEastAsia" w:hAnsiTheme="minorEastAsia" w:eastAsiaTheme="minorEastAsia" w:cstheme="minorEastAsia"/>
          <w:b/>
          <w:bCs/>
          <w:i w:val="0"/>
          <w:iCs w:val="0"/>
          <w:caps w:val="0"/>
          <w:color w:val="auto"/>
          <w:spacing w:val="0"/>
          <w:sz w:val="24"/>
          <w:szCs w:val="24"/>
          <w:highlight w:val="none"/>
          <w:shd w:val="clear" w:fill="FFFFFF"/>
        </w:rPr>
      </w:pPr>
      <w:r>
        <w:rPr>
          <w:rFonts w:hint="eastAsia" w:asciiTheme="minorEastAsia" w:hAnsiTheme="minorEastAsia" w:eastAsiaTheme="minorEastAsia" w:cstheme="minorEastAsia"/>
          <w:b/>
          <w:bCs/>
          <w:i w:val="0"/>
          <w:iCs w:val="0"/>
          <w:caps w:val="0"/>
          <w:color w:val="auto"/>
          <w:spacing w:val="0"/>
          <w:sz w:val="24"/>
          <w:szCs w:val="24"/>
          <w:highlight w:val="none"/>
          <w:shd w:val="clear" w:fill="FFFFFF"/>
        </w:rPr>
        <w:t>系统评价类文献发现</w:t>
      </w:r>
    </w:p>
    <w:p w14:paraId="315DA77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i w:val="0"/>
          <w:iCs w:val="0"/>
          <w:caps w:val="0"/>
          <w:color w:val="auto"/>
          <w:spacing w:val="0"/>
          <w:sz w:val="24"/>
          <w:szCs w:val="24"/>
          <w:highlight w:val="none"/>
          <w:shd w:val="clear" w:fill="FFFFFF"/>
        </w:rPr>
        <w:t>自动</w:t>
      </w:r>
      <w:r>
        <w:rPr>
          <w:rFonts w:hint="eastAsia" w:asciiTheme="minorEastAsia" w:hAnsiTheme="minorEastAsia" w:cstheme="minorEastAsia"/>
          <w:i w:val="0"/>
          <w:iCs w:val="0"/>
          <w:caps w:val="0"/>
          <w:color w:val="auto"/>
          <w:spacing w:val="0"/>
          <w:sz w:val="24"/>
          <w:szCs w:val="24"/>
          <w:highlight w:val="none"/>
          <w:shd w:val="clear" w:fill="FFFFFF"/>
          <w:lang w:val="en-US" w:eastAsia="zh-CN"/>
        </w:rPr>
        <w:t>精浆</w:t>
      </w:r>
      <w:r>
        <w:rPr>
          <w:rFonts w:hint="eastAsia" w:asciiTheme="minorEastAsia" w:hAnsiTheme="minorEastAsia" w:eastAsiaTheme="minorEastAsia" w:cstheme="minorEastAsia"/>
          <w:i w:val="0"/>
          <w:iCs w:val="0"/>
          <w:caps w:val="0"/>
          <w:color w:val="auto"/>
          <w:spacing w:val="0"/>
          <w:sz w:val="24"/>
          <w:szCs w:val="24"/>
          <w:highlight w:val="none"/>
          <w:shd w:val="clear" w:fill="FFFFFF"/>
        </w:rPr>
        <w:t>生化分析仪的性能评价应重点关注精密度、</w:t>
      </w:r>
      <w:r>
        <w:rPr>
          <w:rFonts w:hint="eastAsia" w:asciiTheme="minorEastAsia" w:hAnsiTheme="minorEastAsia" w:cstheme="minorEastAsia"/>
          <w:i w:val="0"/>
          <w:iCs w:val="0"/>
          <w:caps w:val="0"/>
          <w:color w:val="auto"/>
          <w:spacing w:val="0"/>
          <w:sz w:val="24"/>
          <w:szCs w:val="24"/>
          <w:highlight w:val="none"/>
          <w:shd w:val="clear" w:fill="FFFFFF"/>
          <w:lang w:val="en-US" w:eastAsia="zh-CN"/>
        </w:rPr>
        <w:t>测试</w:t>
      </w:r>
      <w:r>
        <w:rPr>
          <w:rFonts w:hint="eastAsia" w:asciiTheme="minorEastAsia" w:hAnsiTheme="minorEastAsia" w:eastAsiaTheme="minorEastAsia" w:cstheme="minorEastAsia"/>
          <w:i w:val="0"/>
          <w:iCs w:val="0"/>
          <w:caps w:val="0"/>
          <w:color w:val="auto"/>
          <w:spacing w:val="0"/>
          <w:sz w:val="24"/>
          <w:szCs w:val="24"/>
          <w:highlight w:val="none"/>
          <w:shd w:val="clear" w:fill="FFFFFF"/>
        </w:rPr>
        <w:t>准确性和线性等指标</w:t>
      </w:r>
      <w:r>
        <w:rPr>
          <w:rFonts w:hint="eastAsia" w:asciiTheme="minorEastAsia" w:hAnsiTheme="minorEastAsia" w:cstheme="minorEastAsia"/>
          <w:i w:val="0"/>
          <w:iCs w:val="0"/>
          <w:caps w:val="0"/>
          <w:color w:val="auto"/>
          <w:spacing w:val="0"/>
          <w:sz w:val="24"/>
          <w:szCs w:val="24"/>
          <w:highlight w:val="none"/>
          <w:shd w:val="clear" w:fill="FFFFFF"/>
          <w:lang w:eastAsia="zh-CN"/>
        </w:rPr>
        <w:t>。</w:t>
      </w:r>
    </w:p>
    <w:p w14:paraId="0021CEA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仪器间的相关性校正对保证结果一致性至关重要</w:t>
      </w:r>
      <w:r>
        <w:rPr>
          <w:rFonts w:hint="eastAsia" w:asciiTheme="minorEastAsia" w:hAnsiTheme="minorEastAsia" w:cstheme="minorEastAsia"/>
          <w:i w:val="0"/>
          <w:iCs w:val="0"/>
          <w:caps w:val="0"/>
          <w:color w:val="333333"/>
          <w:spacing w:val="0"/>
          <w:sz w:val="24"/>
          <w:szCs w:val="24"/>
          <w:shd w:val="clear" w:fill="FFFFFF"/>
          <w:lang w:eastAsia="zh-CN"/>
        </w:rPr>
        <w:t>。</w:t>
      </w:r>
    </w:p>
    <w:p w14:paraId="153F3DE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90" w:beforeAutospacing="0" w:after="90" w:afterAutospacing="0" w:line="420" w:lineRule="atLeast"/>
        <w:ind w:left="0" w:right="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333333"/>
          <w:spacing w:val="0"/>
          <w:sz w:val="24"/>
          <w:szCs w:val="24"/>
          <w:shd w:val="clear" w:fill="FFFFFF"/>
        </w:rPr>
        <w:t>模块化设计和智能管理系统是减少使用问题的有效技术手段</w:t>
      </w:r>
      <w:r>
        <w:rPr>
          <w:rFonts w:hint="eastAsia" w:asciiTheme="minorEastAsia" w:hAnsiTheme="minorEastAsia" w:cstheme="minorEastAsia"/>
          <w:i w:val="0"/>
          <w:iCs w:val="0"/>
          <w:caps w:val="0"/>
          <w:color w:val="333333"/>
          <w:spacing w:val="0"/>
          <w:sz w:val="24"/>
          <w:szCs w:val="24"/>
          <w:shd w:val="clear" w:fill="FFFFFF"/>
          <w:lang w:eastAsia="zh-CN"/>
        </w:rPr>
        <w:t>。</w:t>
      </w:r>
    </w:p>
    <w:p w14:paraId="04E5DA93">
      <w:pPr>
        <w:pStyle w:val="2"/>
      </w:pPr>
    </w:p>
    <w:p w14:paraId="6E96D598">
      <w:pPr>
        <w:pStyle w:val="3"/>
        <w:bidi w:val="0"/>
      </w:pPr>
      <w:bookmarkStart w:id="20" w:name="_Toc3563"/>
      <w:r>
        <w:rPr>
          <w:rFonts w:hint="eastAsia"/>
        </w:rPr>
        <w:t>使用</w:t>
      </w:r>
      <w:r>
        <w:t>风险管理</w:t>
      </w:r>
      <w:bookmarkEnd w:id="20"/>
    </w:p>
    <w:p w14:paraId="0D1A06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90" w:afterAutospacing="0" w:line="420" w:lineRule="atLeast"/>
        <w:ind w:left="-360" w:leftChars="0" w:right="0" w:rightChars="0" w:firstLine="480" w:firstLineChars="200"/>
        <w:jc w:val="left"/>
        <w:textAlignment w:val="auto"/>
        <w:rPr>
          <w:rFonts w:hint="default"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结合产品错误使用风险分析评价，形成产品风险管理报告。见CH3.2 BON-QS-PT-1023575产品风险管理报告.</w:t>
      </w:r>
    </w:p>
    <w:p w14:paraId="05ECFF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90" w:afterAutospacing="0" w:line="420" w:lineRule="atLeast"/>
        <w:ind w:left="-360" w:leftChars="0" w:right="0" w:rightChars="0" w:firstLine="480" w:firstLineChars="200"/>
        <w:jc w:val="left"/>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使用风险管理,结合同类医疗器械上市后使用问题的分析，本产品全部已知使用错误的进行了风险分析，并采取风险控制措施，综合剩余使用风险均可接受。</w:t>
      </w:r>
    </w:p>
    <w:p w14:paraId="2AF966BD"/>
    <w:p w14:paraId="01A3CE8D">
      <w:pPr>
        <w:pStyle w:val="3"/>
        <w:bidi w:val="0"/>
      </w:pPr>
      <w:bookmarkStart w:id="21" w:name="_Toc1753"/>
      <w:r>
        <w:t>结论</w:t>
      </w:r>
      <w:bookmarkEnd w:id="21"/>
    </w:p>
    <w:p w14:paraId="7F5BC2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90" w:afterAutospacing="0" w:line="420" w:lineRule="atLeast"/>
        <w:ind w:left="-360" w:leftChars="0" w:right="0" w:rightChars="0" w:firstLine="480" w:firstLineChars="200"/>
        <w:jc w:val="left"/>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‌主要风险领域‌：全自动精浆生化分析仪的使用问题主要集中在检测结果准确性(35%)、设备故障(28%)和操作失误(22%)三个方面。</w:t>
      </w:r>
    </w:p>
    <w:p w14:paraId="59B6F6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90" w:afterAutospacing="0" w:line="420" w:lineRule="atLeast"/>
        <w:ind w:left="-360" w:leftChars="0" w:right="0" w:rightChars="0" w:firstLine="480" w:firstLineChars="200"/>
        <w:jc w:val="left"/>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t>‌关键影响因素‌：试剂管理、设备维护和操作规范是影响使用质量的三大关键因素</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w:t>
      </w:r>
    </w:p>
    <w:p w14:paraId="431CCC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90" w:afterAutospacing="0" w:line="420" w:lineRule="atLeast"/>
        <w:ind w:left="-360" w:leftChars="0" w:right="0" w:rightChars="0" w:firstLine="480" w:firstLineChars="200"/>
        <w:jc w:val="left"/>
        <w:textAlignment w:val="auto"/>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t>综合以上风险后， 本产品采取的产品‌改进措施‌：</w:t>
      </w:r>
    </w:p>
    <w:p w14:paraId="7FAD78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90" w:afterAutospacing="0" w:line="420" w:lineRule="atLeast"/>
        <w:ind w:left="-360" w:leftChars="0" w:right="0" w:rightChars="0" w:firstLine="480" w:firstLineChars="200"/>
        <w:jc w:val="left"/>
        <w:textAlignment w:val="auto"/>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t>一次性使用TIP头吸取样本和试剂，避免了交叉污染；建立标准化的设备维护流程，</w:t>
      </w:r>
    </w:p>
    <w:p w14:paraId="008D1A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90" w:afterAutospacing="0" w:line="420" w:lineRule="atLeast"/>
        <w:ind w:left="-360" w:leftChars="0" w:right="0" w:rightChars="0" w:firstLine="480" w:firstLineChars="200"/>
        <w:jc w:val="left"/>
        <w:textAlignment w:val="auto"/>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t>完善操作人员培训体系。</w:t>
      </w:r>
    </w:p>
    <w:p w14:paraId="29399FD6">
      <w:pPr>
        <w:keepNext w:val="0"/>
        <w:keepLines w:val="0"/>
        <w:pageBreakBefore w:val="0"/>
        <w:widowControl w:val="0"/>
        <w:kinsoku/>
        <w:wordWrap/>
        <w:overflowPunct/>
        <w:topLinePunct w:val="0"/>
        <w:autoSpaceDE/>
        <w:autoSpaceDN/>
        <w:bidi w:val="0"/>
        <w:adjustRightInd/>
        <w:snapToGrid/>
        <w:ind w:left="0" w:leftChars="0" w:firstLine="638" w:firstLineChars="228"/>
        <w:textAlignment w:val="auto"/>
        <w:rPr>
          <w:rFonts w:hint="eastAsia" w:ascii="Times New Roman" w:hAnsi="Times New Roman"/>
          <w:sz w:val="28"/>
          <w:szCs w:val="28"/>
          <w:lang w:val="en-US" w:eastAsia="zh-CN"/>
        </w:rPr>
      </w:pPr>
    </w:p>
    <w:sectPr>
      <w:footerReference r:id="rId5" w:type="default"/>
      <w:pgSz w:w="11906" w:h="16838"/>
      <w:pgMar w:top="1701" w:right="1417" w:bottom="1417" w:left="1701" w:header="1417" w:footer="1134"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59BC2">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7B22FA">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1E7B22FA">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6DDC04">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B6DDC04">
                    <w:pPr>
                      <w:pStyle w:val="1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307BE">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82344">
                          <w:pPr>
                            <w:pStyle w:val="1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A382344">
                    <w:pPr>
                      <w:pStyle w:val="1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78B78">
    <w:pPr>
      <w:pStyle w:val="15"/>
      <w:rPr>
        <w:rFonts w:hint="default" w:ascii="宋体" w:hAnsi="宋体" w:eastAsia="宋体" w:cs="宋体"/>
        <w:sz w:val="21"/>
        <w:szCs w:val="21"/>
        <w:lang w:val="en-US" w:eastAsia="zh-CN"/>
      </w:rPr>
    </w:pPr>
    <w:r>
      <w:rPr>
        <w:rFonts w:hint="eastAsia" w:ascii="宋体" w:hAnsi="宋体" w:eastAsia="宋体" w:cs="宋体"/>
        <w:sz w:val="21"/>
        <w:szCs w:val="21"/>
        <w:lang w:eastAsia="zh-CN"/>
      </w:rPr>
      <w:t>文件编号：BON-QS-PT-</w:t>
    </w:r>
    <w:r>
      <w:rPr>
        <w:rFonts w:hint="eastAsia" w:ascii="宋体" w:hAnsi="宋体" w:eastAsia="宋体" w:cs="宋体"/>
        <w:sz w:val="21"/>
        <w:szCs w:val="21"/>
        <w:lang w:val="en-US" w:eastAsia="zh-CN"/>
      </w:rPr>
      <w:t>102452</w:t>
    </w:r>
  </w:p>
  <w:p w14:paraId="6E5A3C1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0200C"/>
    <w:multiLevelType w:val="multilevel"/>
    <w:tmpl w:val="87C020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8AA19EE"/>
    <w:multiLevelType w:val="multilevel"/>
    <w:tmpl w:val="98AA19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DC31377"/>
    <w:multiLevelType w:val="multilevel"/>
    <w:tmpl w:val="9DC313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3F139DB"/>
    <w:multiLevelType w:val="singleLevel"/>
    <w:tmpl w:val="A3F139DB"/>
    <w:lvl w:ilvl="0" w:tentative="0">
      <w:start w:val="1"/>
      <w:numFmt w:val="decimal"/>
      <w:lvlText w:val="(%1)"/>
      <w:lvlJc w:val="left"/>
      <w:pPr>
        <w:ind w:left="425" w:hanging="425"/>
      </w:pPr>
      <w:rPr>
        <w:rFonts w:hint="default"/>
      </w:rPr>
    </w:lvl>
  </w:abstractNum>
  <w:abstractNum w:abstractNumId="4">
    <w:nsid w:val="A56C2AC8"/>
    <w:multiLevelType w:val="singleLevel"/>
    <w:tmpl w:val="A56C2AC8"/>
    <w:lvl w:ilvl="0" w:tentative="0">
      <w:start w:val="1"/>
      <w:numFmt w:val="decimal"/>
      <w:lvlText w:val="(%1)"/>
      <w:lvlJc w:val="left"/>
      <w:pPr>
        <w:ind w:left="425" w:hanging="425"/>
      </w:pPr>
      <w:rPr>
        <w:rFonts w:hint="default"/>
      </w:rPr>
    </w:lvl>
  </w:abstractNum>
  <w:abstractNum w:abstractNumId="5">
    <w:nsid w:val="BBD6D30F"/>
    <w:multiLevelType w:val="multilevel"/>
    <w:tmpl w:val="BBD6D3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445449A"/>
    <w:multiLevelType w:val="multilevel"/>
    <w:tmpl w:val="C4454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93D95EA"/>
    <w:multiLevelType w:val="multilevel"/>
    <w:tmpl w:val="F93D95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AAC7203"/>
    <w:multiLevelType w:val="multilevel"/>
    <w:tmpl w:val="FAAC7203"/>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ascii="宋体" w:hAnsi="宋体" w:eastAsia="宋体" w:cs="宋体"/>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9">
    <w:nsid w:val="FC7A4C83"/>
    <w:multiLevelType w:val="multilevel"/>
    <w:tmpl w:val="FC7A4C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20BC83C"/>
    <w:multiLevelType w:val="multilevel"/>
    <w:tmpl w:val="020BC8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08F69FF9"/>
    <w:multiLevelType w:val="multilevel"/>
    <w:tmpl w:val="08F69F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30A36E4"/>
    <w:multiLevelType w:val="singleLevel"/>
    <w:tmpl w:val="530A36E4"/>
    <w:lvl w:ilvl="0" w:tentative="0">
      <w:start w:val="1"/>
      <w:numFmt w:val="decimal"/>
      <w:lvlText w:val="(%1)"/>
      <w:lvlJc w:val="left"/>
      <w:pPr>
        <w:ind w:left="425" w:hanging="425"/>
      </w:pPr>
      <w:rPr>
        <w:rFonts w:hint="default"/>
      </w:rPr>
    </w:lvl>
  </w:abstractNum>
  <w:abstractNum w:abstractNumId="13">
    <w:nsid w:val="67C71EE6"/>
    <w:multiLevelType w:val="multilevel"/>
    <w:tmpl w:val="67C71EE6"/>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8"/>
  </w:num>
  <w:num w:numId="2">
    <w:abstractNumId w:val="0"/>
  </w:num>
  <w:num w:numId="3">
    <w:abstractNumId w:val="6"/>
  </w:num>
  <w:num w:numId="4">
    <w:abstractNumId w:val="2"/>
  </w:num>
  <w:num w:numId="5">
    <w:abstractNumId w:val="3"/>
  </w:num>
  <w:num w:numId="6">
    <w:abstractNumId w:val="13"/>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7"/>
  </w:num>
  <w:num w:numId="11">
    <w:abstractNumId w:val="11"/>
  </w:num>
  <w:num w:numId="12">
    <w:abstractNumId w:val="12"/>
  </w:num>
  <w:num w:numId="13">
    <w:abstractNumId w:val="1"/>
  </w:num>
  <w:num w:numId="14">
    <w:abstractNumId w:val="10"/>
  </w:num>
  <w:num w:numId="15">
    <w:abstractNumId w:val="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BhOWJiYTQyMjRlMmJjNjJlNmY5N2JiNzkyOWRhYWYifQ=="/>
    <w:docVar w:name="KSO_WPS_MARK_KEY" w:val="55c2f665-5000-4116-be28-a2166266d5e1"/>
  </w:docVars>
  <w:rsids>
    <w:rsidRoot w:val="2980056D"/>
    <w:rsid w:val="03C60ADC"/>
    <w:rsid w:val="0708246E"/>
    <w:rsid w:val="0733189E"/>
    <w:rsid w:val="08DA2158"/>
    <w:rsid w:val="09FF2C83"/>
    <w:rsid w:val="0A257F16"/>
    <w:rsid w:val="0A2D7C9A"/>
    <w:rsid w:val="0F6F085C"/>
    <w:rsid w:val="10D027DA"/>
    <w:rsid w:val="13A27080"/>
    <w:rsid w:val="16397448"/>
    <w:rsid w:val="17BE60F1"/>
    <w:rsid w:val="1A686BB3"/>
    <w:rsid w:val="1BF21D4E"/>
    <w:rsid w:val="222C0C49"/>
    <w:rsid w:val="24D4687B"/>
    <w:rsid w:val="26441500"/>
    <w:rsid w:val="272614A3"/>
    <w:rsid w:val="2980056D"/>
    <w:rsid w:val="2AE14ACE"/>
    <w:rsid w:val="2B0C06F4"/>
    <w:rsid w:val="2E400F3C"/>
    <w:rsid w:val="3B872459"/>
    <w:rsid w:val="3C2F67B9"/>
    <w:rsid w:val="3D201FD9"/>
    <w:rsid w:val="3D6E56CE"/>
    <w:rsid w:val="400B00C8"/>
    <w:rsid w:val="4C7B7508"/>
    <w:rsid w:val="4F5E0B9A"/>
    <w:rsid w:val="50984D7E"/>
    <w:rsid w:val="534F42C5"/>
    <w:rsid w:val="551B06C7"/>
    <w:rsid w:val="55A519DE"/>
    <w:rsid w:val="56062387"/>
    <w:rsid w:val="56E62E96"/>
    <w:rsid w:val="58454554"/>
    <w:rsid w:val="5B42777F"/>
    <w:rsid w:val="5DE226C6"/>
    <w:rsid w:val="5F7D4055"/>
    <w:rsid w:val="622A50F6"/>
    <w:rsid w:val="63F03671"/>
    <w:rsid w:val="677B2880"/>
    <w:rsid w:val="68E02B24"/>
    <w:rsid w:val="69FF27F5"/>
    <w:rsid w:val="6D12279A"/>
    <w:rsid w:val="70A21C85"/>
    <w:rsid w:val="730117DD"/>
    <w:rsid w:val="76B37EED"/>
    <w:rsid w:val="776112D4"/>
    <w:rsid w:val="784D55CE"/>
    <w:rsid w:val="7B7B73CA"/>
    <w:rsid w:val="7D542009"/>
    <w:rsid w:val="7DAE7CD8"/>
    <w:rsid w:val="7ECF2AF3"/>
    <w:rsid w:val="7F326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numPr>
        <w:ilvl w:val="0"/>
        <w:numId w:val="1"/>
      </w:numPr>
      <w:spacing w:beforeLines="0" w:beforeAutospacing="0" w:afterLines="0" w:afterAutospacing="0" w:line="240" w:lineRule="auto"/>
      <w:outlineLvl w:val="0"/>
    </w:pPr>
    <w:rPr>
      <w:rFonts w:eastAsia="宋体" w:asciiTheme="minorAscii" w:hAnsiTheme="minorAscii"/>
      <w:kern w:val="44"/>
      <w:sz w:val="28"/>
      <w:szCs w:val="28"/>
    </w:rPr>
  </w:style>
  <w:style w:type="paragraph" w:styleId="4">
    <w:name w:val="heading 2"/>
    <w:basedOn w:val="1"/>
    <w:next w:val="1"/>
    <w:unhideWhenUsed/>
    <w:qFormat/>
    <w:uiPriority w:val="0"/>
    <w:pPr>
      <w:keepNext/>
      <w:keepLines/>
      <w:numPr>
        <w:ilvl w:val="1"/>
        <w:numId w:val="1"/>
      </w:numPr>
      <w:spacing w:beforeLines="0" w:beforeAutospacing="0" w:afterLines="0" w:afterAutospacing="0" w:line="240" w:lineRule="auto"/>
      <w:ind w:left="575" w:leftChars="0" w:hanging="575"/>
      <w:outlineLvl w:val="1"/>
    </w:pPr>
    <w:rPr>
      <w:rFonts w:ascii="Times New Roman" w:hAnsi="Times New Roman" w:eastAsia="宋体"/>
      <w:sz w:val="28"/>
    </w:rPr>
  </w:style>
  <w:style w:type="paragraph" w:styleId="5">
    <w:name w:val="heading 3"/>
    <w:basedOn w:val="1"/>
    <w:next w:val="1"/>
    <w:unhideWhenUsed/>
    <w:qFormat/>
    <w:uiPriority w:val="0"/>
    <w:pPr>
      <w:keepNext/>
      <w:keepLines/>
      <w:numPr>
        <w:ilvl w:val="2"/>
        <w:numId w:val="1"/>
      </w:numPr>
      <w:spacing w:beforeLines="0" w:beforeAutospacing="0" w:afterLines="0" w:afterAutospacing="0" w:line="240" w:lineRule="auto"/>
      <w:ind w:left="720" w:leftChars="0" w:hanging="720"/>
      <w:outlineLvl w:val="2"/>
    </w:pPr>
    <w:rPr>
      <w:rFonts w:ascii="Times New Roman" w:hAnsi="Times New Roman" w:eastAsia="宋体"/>
      <w:sz w:val="28"/>
    </w:rPr>
  </w:style>
  <w:style w:type="paragraph" w:styleId="6">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2">
    <w:name w:val="toc 2"/>
    <w:basedOn w:val="1"/>
    <w:next w:val="1"/>
    <w:qFormat/>
    <w:uiPriority w:val="0"/>
    <w:pPr>
      <w:ind w:left="420" w:leftChars="200"/>
    </w:pPr>
  </w:style>
  <w:style w:type="paragraph" w:styleId="12">
    <w:name w:val="Normal Indent"/>
    <w:basedOn w:val="1"/>
    <w:qFormat/>
    <w:uiPriority w:val="0"/>
    <w:pPr>
      <w:ind w:firstLine="420" w:firstLineChars="200"/>
    </w:p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paragraph" w:customStyle="1" w:styleId="22">
    <w:name w:val="WPSOffice手动目录 1"/>
    <w:qFormat/>
    <w:uiPriority w:val="0"/>
    <w:pPr>
      <w:ind w:leftChars="0"/>
    </w:pPr>
    <w:rPr>
      <w:rFonts w:asciiTheme="minorHAnsi" w:hAnsiTheme="minorHAnsi" w:eastAsiaTheme="minorEastAsia" w:cstheme="minorBidi"/>
      <w:sz w:val="20"/>
      <w:szCs w:val="20"/>
    </w:rPr>
  </w:style>
  <w:style w:type="paragraph" w:customStyle="1" w:styleId="23">
    <w:name w:val="WPSOffice手动目录 2"/>
    <w:qFormat/>
    <w:uiPriority w:val="0"/>
    <w:pPr>
      <w:ind w:leftChars="200"/>
    </w:pPr>
    <w:rPr>
      <w:rFonts w:asciiTheme="minorHAnsi" w:hAnsiTheme="minorHAnsi" w:eastAsiaTheme="minorEastAsia" w:cstheme="minorBidi"/>
      <w:sz w:val="20"/>
      <w:szCs w:val="20"/>
    </w:rPr>
  </w:style>
  <w:style w:type="paragraph" w:customStyle="1" w:styleId="24">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2395</Words>
  <Characters>2772</Characters>
  <Lines>0</Lines>
  <Paragraphs>0</Paragraphs>
  <TotalTime>2</TotalTime>
  <ScaleCrop>false</ScaleCrop>
  <LinksUpToDate>false</LinksUpToDate>
  <CharactersWithSpaces>2986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2023-01-28T07:36:00Z</dcterms:created>
  <dc:creator>zhengyan</dc:creator>
  <cp:lastModifiedBy>汪</cp:lastModifiedBy>
  <dcterms:modified xsi:type="dcterms:W3CDTF">2025-09-25T08:43:33Z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994A33F365B44D4A9608DD562B67A26B_13</vt:lpwstr>
  </property>
  <property fmtid="{D5CDD505-2E9C-101B-9397-08002B2CF9AE}" pid="4" name="KSOTemplateDocerSaveRecord">
    <vt:lpwstr>eyJoZGlkIjoiNjI1ZWIzYmViYzc1MTk0ODU3NmJkNGNiM2UxYjdhNDQiLCJ1c2VySWQiOiIxMTU4NDg3OTI3In0=</vt:lpwstr>
  </property>
</Properties>
</file>