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CBAA5">
      <w:pPr>
        <w:keepNext w:val="0"/>
        <w:keepLines w:val="0"/>
        <w:pageBreakBefore w:val="0"/>
        <w:widowControl w:val="0"/>
        <w:tabs>
          <w:tab w:val="left" w:pos="510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32"/>
          <w:szCs w:val="32"/>
          <w:highlight w:val="none"/>
          <w:lang w:val="en-US"/>
        </w:rPr>
      </w:pPr>
      <w:bookmarkStart w:id="1" w:name="_GoBack"/>
      <w:r>
        <w:rPr>
          <w:rFonts w:hint="default" w:ascii="Times New Roman" w:hAnsi="Times New Roman" w:eastAsia="宋体" w:cs="Times New Roman"/>
          <w:b w:val="0"/>
          <w:bCs w:val="0"/>
          <w:color w:val="auto"/>
          <w:sz w:val="28"/>
          <w:szCs w:val="28"/>
          <w:highlight w:val="none"/>
          <w:lang w:val="en-US" w:eastAsia="zh-CN"/>
        </w:rPr>
        <w:t>CH3.5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8"/>
          <w:szCs w:val="28"/>
          <w:highlight w:val="none"/>
          <w:lang w:val="en-US" w:eastAsia="zh-CN"/>
        </w:rPr>
        <w:t>.5.12互操作性</w:t>
      </w:r>
      <w:bookmarkEnd w:id="1"/>
    </w:p>
    <w:p w14:paraId="67885B68">
      <w:pPr>
        <w:pStyle w:val="2"/>
        <w:numPr>
          <w:ilvl w:val="0"/>
          <w:numId w:val="2"/>
        </w:numPr>
        <w:bidi w:val="0"/>
        <w:ind w:left="0" w:firstLine="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与配套试剂的互操作性</w:t>
      </w:r>
    </w:p>
    <w:p w14:paraId="4216BA45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全自动精浆生化分析仪旨在与特定配套试剂配合使用，以实现对人体样本中各类待测物的准确分析。研发阶段，针对每一款预期配套的试剂，都进行了全面且深入的互操作性研究。以</w:t>
      </w:r>
      <w:bookmarkStart w:id="0" w:name="OLE_LINK8"/>
      <w:r>
        <w:rPr>
          <w:rFonts w:hint="eastAsia"/>
          <w:sz w:val="28"/>
          <w:szCs w:val="28"/>
          <w:lang w:val="en-US" w:eastAsia="zh-CN"/>
        </w:rPr>
        <w:t>精浆锌/精浆果糖/精浆柠檬酸/精浆中性α-葡萄糖苷酶检测试剂盒（比色法）</w:t>
      </w:r>
      <w:bookmarkEnd w:id="0"/>
      <w:r>
        <w:rPr>
          <w:rFonts w:hint="eastAsia"/>
          <w:sz w:val="28"/>
          <w:szCs w:val="28"/>
          <w:lang w:val="en-US" w:eastAsia="zh-CN"/>
        </w:rPr>
        <w:t>为例，在样本加样环节，分析仪依据试剂说明书要求，精准控制加样针的吸取量与加样速度，确保样本与试剂按最佳比例混合反应。经过大量实验数据统计，对于该试剂的样本加样准确性在多次测试中，加样准确度误差控制在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≤±5%</w:t>
      </w:r>
      <w:r>
        <w:rPr>
          <w:rFonts w:hint="eastAsia"/>
          <w:sz w:val="28"/>
          <w:szCs w:val="28"/>
          <w:lang w:val="en-US" w:eastAsia="zh-CN"/>
        </w:rPr>
        <w:t>范围内，符合试剂反应对样本量的严格要求。</w:t>
      </w:r>
    </w:p>
    <w:p w14:paraId="75A641AB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在反应过程中，分析仪的温控系统严格维持反应所需温度。针对该试剂的反应特性，设定温度为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37℃</w:t>
      </w:r>
      <w:r>
        <w:rPr>
          <w:rFonts w:hint="eastAsia"/>
          <w:sz w:val="28"/>
          <w:szCs w:val="28"/>
          <w:lang w:val="en-US" w:eastAsia="zh-CN"/>
        </w:rPr>
        <w:t>，经多次测试，温度准确性保持在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±0.3℃</w:t>
      </w:r>
      <w:r>
        <w:rPr>
          <w:rFonts w:hint="eastAsia"/>
          <w:sz w:val="28"/>
          <w:szCs w:val="28"/>
          <w:lang w:val="en-US" w:eastAsia="zh-CN"/>
        </w:rPr>
        <w:t>，波动度在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0.2℃/h</w:t>
      </w:r>
      <w:r>
        <w:rPr>
          <w:rFonts w:hint="eastAsia"/>
          <w:sz w:val="28"/>
          <w:szCs w:val="28"/>
          <w:lang w:val="en-US" w:eastAsia="zh-CN"/>
        </w:rPr>
        <w:t>以内，为试剂反应提供了稳定的环境，保证反应充分且符合预期动力学过程。同时，分析仪的光电检测系统与试剂的光学特性高度匹配。该试剂在反应特定阶段会产生特定波长的吸光度变化，分析仪的波长准确度在该波长下可达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±0.07 nm</w:t>
      </w:r>
      <w:r>
        <w:rPr>
          <w:rFonts w:hint="eastAsia"/>
          <w:sz w:val="28"/>
          <w:szCs w:val="28"/>
          <w:lang w:val="en-US" w:eastAsia="zh-CN"/>
        </w:rPr>
        <w:t>，重复性偏差控制在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±1.5%</w:t>
      </w:r>
      <w:r>
        <w:rPr>
          <w:rFonts w:hint="eastAsia"/>
          <w:sz w:val="28"/>
          <w:szCs w:val="28"/>
          <w:lang w:val="en-US" w:eastAsia="zh-CN"/>
        </w:rPr>
        <w:t>，确保能准确捕捉吸光度信号，并将其转化为可靠的检测数据。</w:t>
      </w:r>
    </w:p>
    <w:p w14:paraId="2937B228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外，对不同批号的试剂进行互操作性测试，结果显示，分析仪均能稳定识别并准确检测，批间差异在可接受范围内，保障了临床检测的一致性与可靠性。充分证明分析仪与配套试剂在样本加样、反应过程控制、检测信号采集等关键环节协同良好，可有效实现预期检测项目的定量分析。</w:t>
      </w:r>
    </w:p>
    <w:p w14:paraId="622D09C5">
      <w:pPr>
        <w:pStyle w:val="2"/>
        <w:numPr>
          <w:ilvl w:val="0"/>
          <w:numId w:val="2"/>
        </w:numPr>
        <w:bidi w:val="0"/>
        <w:ind w:left="0" w:firstLine="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与数据交互的互操作性</w:t>
      </w:r>
    </w:p>
    <w:p w14:paraId="6403EC7A">
      <w:pPr>
        <w:pStyle w:val="2"/>
        <w:numPr>
          <w:numId w:val="0"/>
        </w:numPr>
        <w:bidi w:val="0"/>
        <w:ind w:leftChars="0" w:firstLine="560" w:firstLineChars="20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本全自动精浆生化分析仪具备与数据交互的功能，以提升实验室检测流程的自动化与信息化水平。以与实验室信息系统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（LIS）</w:t>
      </w:r>
      <w:r>
        <w:rPr>
          <w:rFonts w:hint="eastAsia"/>
          <w:color w:val="auto"/>
          <w:highlight w:val="none"/>
          <w:lang w:val="en-US" w:eastAsia="zh-CN"/>
        </w:rPr>
        <w:t>的连接为例，我们采用了行业通用的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HL7</w:t>
      </w:r>
      <w:r>
        <w:rPr>
          <w:rFonts w:hint="eastAsia"/>
          <w:color w:val="auto"/>
          <w:highlight w:val="none"/>
          <w:lang w:val="en-US" w:eastAsia="zh-CN"/>
        </w:rPr>
        <w:t>通信协议，确保数据在传输过程中的稳定性与准确性。在硬件连接层面，通过符合相关行业标准的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RJ-45</w:t>
      </w:r>
      <w:r>
        <w:rPr>
          <w:rFonts w:hint="eastAsia"/>
          <w:color w:val="auto"/>
          <w:highlight w:val="none"/>
          <w:lang w:val="en-US" w:eastAsia="zh-CN"/>
        </w:rPr>
        <w:t>接口实现物理连接，该接口具备良好的兼容性与稳定性，能够有效保障设备间的可靠连接。​</w:t>
      </w:r>
    </w:p>
    <w:p w14:paraId="02E05037">
      <w:pPr>
        <w:pStyle w:val="2"/>
        <w:numPr>
          <w:numId w:val="0"/>
        </w:numPr>
        <w:bidi w:val="0"/>
        <w:ind w:leftChars="0" w:firstLine="560" w:firstLineChars="20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在数据发送端，分析仪将检测结果数据按照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 xml:space="preserve"> LIS </w:t>
      </w:r>
      <w:r>
        <w:rPr>
          <w:rFonts w:hint="eastAsia"/>
          <w:color w:val="auto"/>
          <w:highlight w:val="none"/>
          <w:lang w:val="en-US" w:eastAsia="zh-CN"/>
        </w:rPr>
        <w:t>系统可识别的特定格式进行打包处理。打包的数据中不仅包含患者的基本信息，如姓名、ID号、性别、年龄等，还涵盖样本信息，包括样本类型、采集时间等，以及详细的检测数据，如各检测项目的结果数值、单位、参考范围等。经过大量的模拟测试与实际应用验证，在多次数据发送测试中，数据发送成功率高达99%以上，充分证明了数据发送的高效性与准确性。​</w:t>
      </w:r>
    </w:p>
    <w:p w14:paraId="4EEE1D0B">
      <w:pPr>
        <w:pStyle w:val="2"/>
        <w:numPr>
          <w:numId w:val="0"/>
        </w:numPr>
        <w:bidi w:val="0"/>
        <w:ind w:leftChars="0" w:firstLine="560" w:firstLineChars="20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在接收端，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LIS</w:t>
      </w:r>
      <w:r>
        <w:rPr>
          <w:rFonts w:hint="eastAsia"/>
          <w:color w:val="auto"/>
          <w:highlight w:val="none"/>
          <w:lang w:val="en-US" w:eastAsia="zh-CN"/>
        </w:rPr>
        <w:t xml:space="preserve">系统能够实时、准确地接收分析仪发送的数据，并按照预设的规则对数据进行解析与存储。针对数据交互过程中可能出现的异常情况，如网络中断、数据格式错误、数据丢失等，分析仪与 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LIS</w:t>
      </w:r>
      <w:r>
        <w:rPr>
          <w:rFonts w:hint="eastAsia"/>
          <w:color w:val="auto"/>
          <w:highlight w:val="none"/>
          <w:lang w:val="en-US" w:eastAsia="zh-CN"/>
        </w:rPr>
        <w:t>系统均配备了完善的错误提示与恢复机制。当网络中断后恢复连接时，分析仪能够自动识别并补发未成功传输的数据，确保数据的完整性，避免因网络问题导致的数据缺失影响临床诊断。​</w:t>
      </w:r>
    </w:p>
    <w:p w14:paraId="2C06A0DF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</w:p>
    <w:p w14:paraId="388F4ED3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</w:p>
    <w:p w14:paraId="74BACD44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</w:p>
    <w:sectPr>
      <w:footerReference r:id="rId3" w:type="default"/>
      <w:pgSz w:w="11906" w:h="16838"/>
      <w:pgMar w:top="1701" w:right="1417" w:bottom="1701" w:left="1417" w:header="1134" w:footer="1134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274D2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8321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21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3D0A8F">
                          <w:pPr>
                            <w:pStyle w:val="12"/>
                            <w:jc w:val="both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22.3pt;mso-position-horizontal:center;mso-position-horizontal-relative:margin;z-index:251659264;mso-width-relative:page;mso-height-relative:page;" filled="f" stroked="f" coordsize="21600,21600" o:gfxdata="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TixFbUAAAABAEAAA8AAAAAAAAAAQAgAAAAIgAAAGRycy9kb3ducmV2Lnht&#10;bFBLAQIUABQAAAAIAIdO4kANKfR2NgIAAGIEAAAOAAAAAAAAAAEAIAAAACM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3D0A8F">
                    <w:pPr>
                      <w:pStyle w:val="12"/>
                      <w:jc w:val="both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1BD1B"/>
    <w:multiLevelType w:val="multilevel"/>
    <w:tmpl w:val="8E31BD1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3F2780A"/>
    <w:multiLevelType w:val="singleLevel"/>
    <w:tmpl w:val="53F2780A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28"/>
        <w:szCs w:val="2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xNWQ5ZDM5NGJhOGJiNzViYzk3MTM3ZGE4YWUyNWIifQ=="/>
  </w:docVars>
  <w:rsids>
    <w:rsidRoot w:val="2980056D"/>
    <w:rsid w:val="005C6ABD"/>
    <w:rsid w:val="03A02FA5"/>
    <w:rsid w:val="0733189E"/>
    <w:rsid w:val="0F864C61"/>
    <w:rsid w:val="107C2B91"/>
    <w:rsid w:val="10D027DA"/>
    <w:rsid w:val="17BE60F1"/>
    <w:rsid w:val="18651D95"/>
    <w:rsid w:val="1936033F"/>
    <w:rsid w:val="19DE0D4D"/>
    <w:rsid w:val="1B54392B"/>
    <w:rsid w:val="1D7774E0"/>
    <w:rsid w:val="1DE439C2"/>
    <w:rsid w:val="24D4687B"/>
    <w:rsid w:val="26441500"/>
    <w:rsid w:val="28D3584B"/>
    <w:rsid w:val="2929218F"/>
    <w:rsid w:val="293E0735"/>
    <w:rsid w:val="2980056D"/>
    <w:rsid w:val="2AE30649"/>
    <w:rsid w:val="2BC76C50"/>
    <w:rsid w:val="2E400F3C"/>
    <w:rsid w:val="32582CF8"/>
    <w:rsid w:val="344A041F"/>
    <w:rsid w:val="36703D6C"/>
    <w:rsid w:val="38BB5D8F"/>
    <w:rsid w:val="3AD52FAC"/>
    <w:rsid w:val="3B872459"/>
    <w:rsid w:val="3D201FD9"/>
    <w:rsid w:val="3D6E56CE"/>
    <w:rsid w:val="3E0E6877"/>
    <w:rsid w:val="3FAE08C8"/>
    <w:rsid w:val="423D7280"/>
    <w:rsid w:val="44516C47"/>
    <w:rsid w:val="46E763F3"/>
    <w:rsid w:val="4A044DB9"/>
    <w:rsid w:val="4AD638C2"/>
    <w:rsid w:val="4B861407"/>
    <w:rsid w:val="4C9E5C65"/>
    <w:rsid w:val="4F915753"/>
    <w:rsid w:val="527E4B1B"/>
    <w:rsid w:val="53CB0DAE"/>
    <w:rsid w:val="5627460C"/>
    <w:rsid w:val="56E021D6"/>
    <w:rsid w:val="579955A1"/>
    <w:rsid w:val="59886F95"/>
    <w:rsid w:val="5A841F64"/>
    <w:rsid w:val="5B6E41C7"/>
    <w:rsid w:val="5BFC633D"/>
    <w:rsid w:val="605F7014"/>
    <w:rsid w:val="6097010C"/>
    <w:rsid w:val="615F3904"/>
    <w:rsid w:val="62094865"/>
    <w:rsid w:val="622A50F6"/>
    <w:rsid w:val="63984F4F"/>
    <w:rsid w:val="65B7192D"/>
    <w:rsid w:val="677B2880"/>
    <w:rsid w:val="68E02B24"/>
    <w:rsid w:val="6B46394F"/>
    <w:rsid w:val="6BCE2A5C"/>
    <w:rsid w:val="6BE13669"/>
    <w:rsid w:val="6D12279A"/>
    <w:rsid w:val="6DC76061"/>
    <w:rsid w:val="6E745EE4"/>
    <w:rsid w:val="6F2D6793"/>
    <w:rsid w:val="7103488A"/>
    <w:rsid w:val="730117DD"/>
    <w:rsid w:val="749B2E64"/>
    <w:rsid w:val="776112D4"/>
    <w:rsid w:val="784D55CE"/>
    <w:rsid w:val="78985A3C"/>
    <w:rsid w:val="7A65727C"/>
    <w:rsid w:val="7B7B73CA"/>
    <w:rsid w:val="7B837F91"/>
    <w:rsid w:val="7BAC5E8A"/>
    <w:rsid w:val="7D724B59"/>
    <w:rsid w:val="7E0F07F4"/>
    <w:rsid w:val="7ECF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240" w:lineRule="auto"/>
      <w:outlineLvl w:val="0"/>
    </w:pPr>
    <w:rPr>
      <w:rFonts w:eastAsia="宋体" w:asciiTheme="minorAscii" w:hAnsiTheme="minorAscii"/>
      <w:kern w:val="44"/>
      <w:sz w:val="28"/>
      <w:szCs w:val="28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240" w:lineRule="auto"/>
      <w:ind w:left="575" w:leftChars="0" w:hanging="575"/>
      <w:outlineLvl w:val="1"/>
    </w:pPr>
    <w:rPr>
      <w:rFonts w:ascii="Times New Roman" w:hAnsi="Times New Roman" w:eastAsia="宋体"/>
      <w:sz w:val="28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240" w:lineRule="auto"/>
      <w:ind w:left="720" w:leftChars="0" w:hanging="720"/>
      <w:outlineLvl w:val="2"/>
    </w:pPr>
    <w:rPr>
      <w:rFonts w:ascii="Times New Roman" w:hAnsi="Times New Roman" w:eastAsia="宋体"/>
      <w:sz w:val="28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autoRedefine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qFormat/>
    <w:uiPriority w:val="0"/>
    <w:pPr>
      <w:ind w:left="840" w:leftChars="400"/>
    </w:pPr>
  </w:style>
  <w:style w:type="paragraph" w:styleId="1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autoRedefine/>
    <w:qFormat/>
    <w:uiPriority w:val="0"/>
  </w:style>
  <w:style w:type="paragraph" w:styleId="15">
    <w:name w:val="toc 2"/>
    <w:basedOn w:val="1"/>
    <w:next w:val="1"/>
    <w:autoRedefine/>
    <w:qFormat/>
    <w:uiPriority w:val="0"/>
    <w:pPr>
      <w:ind w:left="420" w:leftChars="200"/>
    </w:pPr>
  </w:style>
  <w:style w:type="paragraph" w:styleId="16">
    <w:name w:val="Normal (Web)"/>
    <w:basedOn w:val="1"/>
    <w:autoRedefine/>
    <w:qFormat/>
    <w:uiPriority w:val="0"/>
    <w:rPr>
      <w:sz w:val="24"/>
    </w:rPr>
  </w:style>
  <w:style w:type="table" w:styleId="18">
    <w:name w:val="Table Grid"/>
    <w:basedOn w:val="1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1">
    <w:name w:val="WPSOffice手动目录 2"/>
    <w:autoRedefine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2">
    <w:name w:val="WPSOffice手动目录 3"/>
    <w:autoRedefine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3">
    <w:name w:val="正文表标题"/>
    <w:next w:val="24"/>
    <w:autoRedefine/>
    <w:qFormat/>
    <w:uiPriority w:val="0"/>
    <w:pPr>
      <w:ind w:left="4111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4">
    <w:name w:val="段"/>
    <w:autoRedefine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列出段落1"/>
    <w:basedOn w:val="1"/>
    <w:autoRedefine/>
    <w:qFormat/>
    <w:uiPriority w:val="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420" w:firstLineChars="200"/>
    </w:pPr>
  </w:style>
  <w:style w:type="paragraph" w:customStyle="1" w:styleId="2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611</Words>
  <Characters>697</Characters>
  <Lines>0</Lines>
  <Paragraphs>0</Paragraphs>
  <TotalTime>8</TotalTime>
  <ScaleCrop>false</ScaleCrop>
  <LinksUpToDate>false</LinksUpToDate>
  <CharactersWithSpaces>709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2023-01-28T07:36:00Z</dcterms:created>
  <dc:creator>zhengyan</dc:creator>
  <cp:lastModifiedBy>汪</cp:lastModifiedBy>
  <dcterms:modified xsi:type="dcterms:W3CDTF">2025-09-08T02:43:05Z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C8D35B7F2827405198DFD99585E976A1</vt:lpwstr>
  </property>
  <property fmtid="{D5CDD505-2E9C-101B-9397-08002B2CF9AE}" pid="4" name="KSOTemplateDocerSaveRecord">
    <vt:lpwstr>eyJoZGlkIjoiNjI1ZWIzYmViYzc1MTk0ODU3NmJkNGNiM2UxYjdhNDQiLCJ1c2VySWQiOiIxMTU4NDg3OTI3In0=</vt:lpwstr>
  </property>
</Properties>
</file>