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E8887">
      <w:pPr>
        <w:pStyle w:val="12"/>
        <w:framePr w:w="0" w:hRule="auto" w:wrap="auto" w:vAnchor="margin" w:hAnchor="text" w:xAlign="left" w:yAlign="inline"/>
        <w:spacing w:line="600" w:lineRule="exact"/>
        <w:rPr>
          <w:rFonts w:hint="eastAsia" w:asciiTheme="majorEastAsia" w:hAnsiTheme="majorEastAsia" w:eastAsiaTheme="majorEastAsia" w:cstheme="majorEastAsia"/>
          <w:b w:val="0"/>
          <w:bCs w:val="0"/>
          <w:sz w:val="28"/>
          <w:szCs w:val="28"/>
          <w:lang w:eastAsia="zh-CN"/>
        </w:rPr>
      </w:pPr>
      <w:bookmarkStart w:id="0" w:name="_Toc99006528"/>
      <w:bookmarkStart w:id="1" w:name="_Toc37853720"/>
      <w:r>
        <w:rPr>
          <w:rFonts w:ascii="Times New Roman" w:eastAsiaTheme="majorEastAsia"/>
          <w:b w:val="0"/>
          <w:bCs w:val="0"/>
          <w:sz w:val="28"/>
          <w:szCs w:val="28"/>
        </w:rPr>
        <w:t>CH</w:t>
      </w:r>
      <w:r>
        <w:rPr>
          <w:rFonts w:hint="eastAsia" w:ascii="Times New Roman" w:eastAsiaTheme="majorEastAsia"/>
          <w:b w:val="0"/>
          <w:bCs w:val="0"/>
          <w:sz w:val="28"/>
          <w:szCs w:val="28"/>
          <w:lang w:val="en-US" w:eastAsia="zh-CN"/>
        </w:rPr>
        <w:t>3.8</w:t>
      </w:r>
      <w:r>
        <w:rPr>
          <w:rFonts w:hint="eastAsia" w:asciiTheme="majorEastAsia" w:hAnsiTheme="majorEastAsia" w:eastAsiaTheme="majorEastAsia" w:cstheme="majorEastAsia"/>
          <w:b w:val="0"/>
          <w:bCs w:val="0"/>
          <w:sz w:val="28"/>
          <w:szCs w:val="28"/>
          <w:lang w:eastAsia="zh-CN"/>
        </w:rPr>
        <w:t>其他资料</w:t>
      </w:r>
    </w:p>
    <w:p w14:paraId="189D33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leftChars="0" w:firstLine="560" w:firstLineChars="200"/>
        <w:jc w:val="left"/>
        <w:rPr>
          <w:rFonts w:hint="eastAsia" w:ascii="宋体" w:hAnsi="宋体" w:eastAsia="宋体" w:cs="宋体"/>
          <w:kern w:val="0"/>
          <w:sz w:val="28"/>
          <w:szCs w:val="28"/>
          <w:lang w:eastAsia="zh-CN"/>
        </w:rPr>
      </w:pPr>
      <w:r>
        <w:rPr>
          <w:rFonts w:hint="eastAsia" w:ascii="宋体" w:hAnsi="宋体" w:eastAsia="宋体" w:cs="宋体"/>
          <w:kern w:val="0"/>
          <w:sz w:val="28"/>
          <w:szCs w:val="28"/>
          <w:lang w:eastAsia="zh-CN"/>
        </w:rPr>
        <w:t>申报产品</w:t>
      </w:r>
      <w:r>
        <w:rPr>
          <w:rFonts w:hint="eastAsia" w:ascii="宋体" w:hAnsi="宋体" w:eastAsia="宋体" w:cs="宋体"/>
          <w:kern w:val="0"/>
          <w:sz w:val="28"/>
          <w:szCs w:val="28"/>
        </w:rPr>
        <w:t>全自动</w:t>
      </w:r>
      <w:r>
        <w:rPr>
          <w:rFonts w:hint="eastAsia" w:ascii="宋体" w:hAnsi="宋体" w:eastAsia="宋体" w:cs="宋体"/>
          <w:kern w:val="0"/>
          <w:sz w:val="28"/>
          <w:szCs w:val="28"/>
          <w:lang w:eastAsia="zh-CN"/>
        </w:rPr>
        <w:t>精浆</w:t>
      </w:r>
      <w:r>
        <w:rPr>
          <w:rFonts w:hint="eastAsia" w:ascii="宋体" w:hAnsi="宋体" w:eastAsia="宋体" w:cs="宋体"/>
          <w:kern w:val="0"/>
          <w:sz w:val="28"/>
          <w:szCs w:val="28"/>
        </w:rPr>
        <w:t>生化分析仪</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按《医疗器械分类目录》，产品的分类编号：22-02-01，管理类别Ⅱ类，列入</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免于进行临床评价医疗器械目录（2025年）</w:t>
      </w:r>
      <w:r>
        <w:rPr>
          <w:rFonts w:hint="eastAsia" w:ascii="宋体" w:hAnsi="宋体" w:eastAsia="宋体" w:cs="宋体"/>
          <w:kern w:val="0"/>
          <w:sz w:val="28"/>
          <w:szCs w:val="28"/>
          <w:lang w:eastAsia="zh-CN"/>
        </w:rPr>
        <w:t>》</w:t>
      </w:r>
      <w:r>
        <w:rPr>
          <w:rFonts w:hint="eastAsia" w:ascii="宋体" w:hAnsi="宋体" w:eastAsia="宋体" w:cs="宋体"/>
          <w:kern w:val="0"/>
          <w:sz w:val="28"/>
          <w:szCs w:val="28"/>
        </w:rPr>
        <w:t>，按照《列入免于进行临床评价医疗器械目录产品对比说明技术指导原则》，从以下方面证明产品的安全有效性</w:t>
      </w:r>
      <w:r>
        <w:rPr>
          <w:rFonts w:hint="eastAsia" w:ascii="宋体" w:hAnsi="宋体" w:eastAsia="宋体" w:cs="宋体"/>
          <w:kern w:val="0"/>
          <w:sz w:val="28"/>
          <w:szCs w:val="28"/>
          <w:lang w:eastAsia="zh-CN"/>
        </w:rPr>
        <w:t>。</w:t>
      </w:r>
    </w:p>
    <w:p w14:paraId="3628A1B6">
      <w:pPr>
        <w:pStyle w:val="2"/>
      </w:pPr>
      <w:r>
        <w:rPr>
          <w:rFonts w:hint="eastAsia"/>
        </w:rPr>
        <w:t>1、申报产品相关信息与《目录》所述内容的对比资料</w:t>
      </w:r>
      <w:bookmarkEnd w:id="0"/>
    </w:p>
    <w:p w14:paraId="0DA71C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58" w:leftChars="504" w:firstLine="630" w:firstLineChars="225"/>
        <w:jc w:val="left"/>
        <w:rPr>
          <w:rFonts w:hint="eastAsia" w:ascii="宋体" w:hAnsi="宋体" w:eastAsia="宋体" w:cs="宋体"/>
          <w:kern w:val="0"/>
          <w:sz w:val="28"/>
          <w:szCs w:val="28"/>
        </w:rPr>
      </w:pPr>
      <w:r>
        <w:rPr>
          <w:rFonts w:hint="eastAsia" w:ascii="宋体" w:hAnsi="宋体" w:eastAsia="宋体" w:cs="宋体"/>
          <w:kern w:val="0"/>
          <w:sz w:val="28"/>
          <w:szCs w:val="28"/>
        </w:rPr>
        <w:t>申报产品相关信息与《目录》所述内容的对比：</w:t>
      </w:r>
    </w:p>
    <w:tbl>
      <w:tblPr>
        <w:tblStyle w:val="9"/>
        <w:tblW w:w="9600" w:type="dxa"/>
        <w:tblInd w:w="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5"/>
        <w:gridCol w:w="2595"/>
        <w:gridCol w:w="3270"/>
        <w:gridCol w:w="2340"/>
      </w:tblGrid>
      <w:tr w14:paraId="32E1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5" w:type="dxa"/>
            <w:vAlign w:val="center"/>
          </w:tcPr>
          <w:p w14:paraId="5F0770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对比项目</w:t>
            </w:r>
          </w:p>
        </w:tc>
        <w:tc>
          <w:tcPr>
            <w:tcW w:w="2595" w:type="dxa"/>
            <w:vAlign w:val="center"/>
          </w:tcPr>
          <w:p w14:paraId="3B6595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《目录》所述内容</w:t>
            </w:r>
          </w:p>
        </w:tc>
        <w:tc>
          <w:tcPr>
            <w:tcW w:w="3270" w:type="dxa"/>
            <w:vAlign w:val="center"/>
          </w:tcPr>
          <w:p w14:paraId="432639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申报产品相关信息</w:t>
            </w:r>
          </w:p>
        </w:tc>
        <w:tc>
          <w:tcPr>
            <w:tcW w:w="2340" w:type="dxa"/>
            <w:vAlign w:val="center"/>
          </w:tcPr>
          <w:p w14:paraId="2C722A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对比说明</w:t>
            </w:r>
          </w:p>
        </w:tc>
      </w:tr>
      <w:tr w14:paraId="4684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5" w:type="dxa"/>
            <w:vAlign w:val="center"/>
          </w:tcPr>
          <w:p w14:paraId="190142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center"/>
              <w:rPr>
                <w:rFonts w:hint="eastAsia" w:asciiTheme="minorEastAsia" w:hAnsiTheme="minorEastAsia" w:eastAsiaTheme="minorEastAsia" w:cstheme="minorEastAsia"/>
                <w:kern w:val="0"/>
                <w:sz w:val="24"/>
                <w:lang w:eastAsia="zh-CN"/>
              </w:rPr>
            </w:pPr>
            <w:r>
              <w:rPr>
                <w:rFonts w:hint="eastAsia" w:asciiTheme="minorEastAsia" w:hAnsiTheme="minorEastAsia" w:cstheme="minorEastAsia"/>
                <w:kern w:val="0"/>
                <w:sz w:val="24"/>
              </w:rPr>
              <w:t>分类</w:t>
            </w:r>
            <w:r>
              <w:rPr>
                <w:rFonts w:hint="eastAsia" w:asciiTheme="minorEastAsia" w:hAnsiTheme="minorEastAsia" w:cstheme="minorEastAsia"/>
                <w:kern w:val="0"/>
                <w:sz w:val="24"/>
                <w:lang w:eastAsia="zh-CN"/>
              </w:rPr>
              <w:t>编码</w:t>
            </w:r>
          </w:p>
        </w:tc>
        <w:tc>
          <w:tcPr>
            <w:tcW w:w="2595" w:type="dxa"/>
            <w:vAlign w:val="center"/>
          </w:tcPr>
          <w:p w14:paraId="605AED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22-02-01</w:t>
            </w:r>
          </w:p>
        </w:tc>
        <w:tc>
          <w:tcPr>
            <w:tcW w:w="3270" w:type="dxa"/>
            <w:vAlign w:val="center"/>
          </w:tcPr>
          <w:p w14:paraId="1B49D4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22-02-01</w:t>
            </w:r>
          </w:p>
        </w:tc>
        <w:tc>
          <w:tcPr>
            <w:tcW w:w="2340" w:type="dxa"/>
            <w:vAlign w:val="center"/>
          </w:tcPr>
          <w:p w14:paraId="7A7A72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r>
      <w:tr w14:paraId="0620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5" w:type="dxa"/>
            <w:vAlign w:val="center"/>
          </w:tcPr>
          <w:p w14:paraId="60CCA2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产品名称</w:t>
            </w:r>
          </w:p>
        </w:tc>
        <w:tc>
          <w:tcPr>
            <w:tcW w:w="2595" w:type="dxa"/>
            <w:vAlign w:val="center"/>
          </w:tcPr>
          <w:p w14:paraId="257F51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生化分析仪器</w:t>
            </w:r>
          </w:p>
        </w:tc>
        <w:tc>
          <w:tcPr>
            <w:tcW w:w="3270" w:type="dxa"/>
            <w:vAlign w:val="center"/>
          </w:tcPr>
          <w:p w14:paraId="206BBC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全自动精浆生化分析仪</w:t>
            </w:r>
          </w:p>
        </w:tc>
        <w:tc>
          <w:tcPr>
            <w:tcW w:w="2340" w:type="dxa"/>
            <w:vAlign w:val="center"/>
          </w:tcPr>
          <w:p w14:paraId="602F00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明确仪器检测样本类型</w:t>
            </w:r>
          </w:p>
        </w:tc>
      </w:tr>
      <w:tr w14:paraId="7151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5" w:type="dxa"/>
            <w:vAlign w:val="center"/>
          </w:tcPr>
          <w:p w14:paraId="247866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产品描述</w:t>
            </w:r>
          </w:p>
        </w:tc>
        <w:tc>
          <w:tcPr>
            <w:tcW w:w="2595" w:type="dxa"/>
          </w:tcPr>
          <w:p w14:paraId="0C39C4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结构组成：</w:t>
            </w:r>
            <w:r>
              <w:rPr>
                <w:rFonts w:hint="eastAsia" w:asciiTheme="minorEastAsia" w:hAnsiTheme="minorEastAsia" w:cstheme="minorEastAsia"/>
                <w:kern w:val="0"/>
                <w:sz w:val="24"/>
              </w:rPr>
              <w:t>通常由样品器、取样装置、反应池或反应管道、保温器、检测器、微处理器等中的一种或几种组成。</w:t>
            </w:r>
          </w:p>
          <w:p w14:paraId="67BAC3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工作</w:t>
            </w:r>
            <w:r>
              <w:rPr>
                <w:rFonts w:hint="eastAsia" w:asciiTheme="minorEastAsia" w:hAnsiTheme="minorEastAsia" w:cstheme="minorEastAsia"/>
                <w:kern w:val="0"/>
                <w:sz w:val="24"/>
              </w:rPr>
              <w:t>原理</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一般为分光光度法、浊度比色法、离子选择性电极法、荧光法、反射光度法、差示电位法等。</w:t>
            </w:r>
          </w:p>
          <w:p w14:paraId="3A13D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预期用途：</w:t>
            </w:r>
            <w:r>
              <w:rPr>
                <w:rFonts w:hint="eastAsia" w:asciiTheme="minorEastAsia" w:hAnsiTheme="minorEastAsia" w:cstheme="minorEastAsia"/>
                <w:kern w:val="0"/>
                <w:sz w:val="24"/>
              </w:rPr>
              <w:t>与适配试剂配合使用，用于人体样本中待测物的定性和/或定量分析。</w:t>
            </w:r>
          </w:p>
        </w:tc>
        <w:tc>
          <w:tcPr>
            <w:tcW w:w="3270" w:type="dxa"/>
          </w:tcPr>
          <w:p w14:paraId="5F9F12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结构组成：</w:t>
            </w:r>
            <w:r>
              <w:rPr>
                <w:rFonts w:hint="eastAsia" w:asciiTheme="minorEastAsia" w:hAnsiTheme="minorEastAsia" w:cstheme="minorEastAsia"/>
                <w:kern w:val="0"/>
                <w:sz w:val="24"/>
              </w:rPr>
              <w:t>本产品由加样机构、反应仓、光度计及全自动生化分析仪软件（发布版本：V1.00）组成。</w:t>
            </w:r>
          </w:p>
          <w:p w14:paraId="3377C8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lang w:eastAsia="zh-CN"/>
              </w:rPr>
            </w:pPr>
            <w:r>
              <w:rPr>
                <w:rFonts w:hint="eastAsia" w:asciiTheme="minorEastAsia" w:hAnsiTheme="minorEastAsia" w:cstheme="minorEastAsia"/>
                <w:kern w:val="0"/>
                <w:sz w:val="24"/>
                <w:lang w:eastAsia="zh-CN"/>
              </w:rPr>
              <w:t>工作</w:t>
            </w:r>
            <w:r>
              <w:rPr>
                <w:rFonts w:hint="eastAsia" w:asciiTheme="minorEastAsia" w:hAnsiTheme="minorEastAsia" w:cstheme="minorEastAsia"/>
                <w:kern w:val="0"/>
                <w:sz w:val="24"/>
              </w:rPr>
              <w:t>原理</w:t>
            </w:r>
            <w:r>
              <w:rPr>
                <w:rFonts w:hint="eastAsia" w:asciiTheme="minorEastAsia" w:hAnsiTheme="minorEastAsia" w:cstheme="minorEastAsia"/>
                <w:kern w:val="0"/>
                <w:sz w:val="24"/>
                <w:lang w:eastAsia="zh-CN"/>
              </w:rPr>
              <w:t>：使加入到比色杯内的样本和试剂通过加热装置温育并进行反应，反应后的被检测液体经过一束单色光/白光射入，透过被测液体的光信号被检测后转换成电信号，对该信号进行适当转换及运算处理，参照标准曲线，从而可得到被测液体的浓度。即分光光度法。</w:t>
            </w:r>
          </w:p>
          <w:p w14:paraId="2659B9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lang w:eastAsia="zh-CN"/>
              </w:rPr>
              <w:t>预期用途：</w:t>
            </w:r>
            <w:r>
              <w:rPr>
                <w:rFonts w:hint="eastAsia" w:asciiTheme="minorEastAsia" w:hAnsiTheme="minorEastAsia" w:cstheme="minorEastAsia"/>
                <w:kern w:val="0"/>
                <w:sz w:val="24"/>
              </w:rPr>
              <w:t>与适配试剂配合使用，用于人体精浆样本中待测物的定量分析。</w:t>
            </w:r>
          </w:p>
        </w:tc>
        <w:tc>
          <w:tcPr>
            <w:tcW w:w="2340" w:type="dxa"/>
          </w:tcPr>
          <w:p w14:paraId="137525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结构组成</w:t>
            </w:r>
            <w:r>
              <w:rPr>
                <w:rFonts w:hint="eastAsia" w:asciiTheme="minorEastAsia" w:hAnsiTheme="minorEastAsia" w:cstheme="minorEastAsia"/>
                <w:kern w:val="0"/>
                <w:sz w:val="24"/>
                <w:lang w:eastAsia="zh-CN"/>
              </w:rPr>
              <w:t>：申报产品</w:t>
            </w:r>
            <w:r>
              <w:rPr>
                <w:rFonts w:hint="eastAsia" w:asciiTheme="minorEastAsia" w:hAnsiTheme="minorEastAsia" w:cstheme="minorEastAsia"/>
                <w:kern w:val="0"/>
                <w:sz w:val="24"/>
              </w:rPr>
              <w:t>无清洗系统，仪器单人份试剂条测试，试剂条作为吸收池的比色容器，为一次性使用不需要清洗。</w:t>
            </w:r>
          </w:p>
          <w:p w14:paraId="6A734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工作原理</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等同。</w:t>
            </w:r>
          </w:p>
          <w:p w14:paraId="5B268F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预期用途</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等同。</w:t>
            </w:r>
          </w:p>
        </w:tc>
      </w:tr>
      <w:tr w14:paraId="0BBD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5" w:type="dxa"/>
            <w:vAlign w:val="center"/>
          </w:tcPr>
          <w:p w14:paraId="55EF26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产品类别</w:t>
            </w:r>
          </w:p>
        </w:tc>
        <w:tc>
          <w:tcPr>
            <w:tcW w:w="2595" w:type="dxa"/>
            <w:vAlign w:val="top"/>
          </w:tcPr>
          <w:p w14:paraId="52989D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Ⅱ类</w:t>
            </w:r>
          </w:p>
        </w:tc>
        <w:tc>
          <w:tcPr>
            <w:tcW w:w="3270" w:type="dxa"/>
            <w:vAlign w:val="top"/>
          </w:tcPr>
          <w:p w14:paraId="43E9F1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Ⅱ类</w:t>
            </w:r>
          </w:p>
        </w:tc>
        <w:tc>
          <w:tcPr>
            <w:tcW w:w="2340" w:type="dxa"/>
            <w:vAlign w:val="top"/>
          </w:tcPr>
          <w:p w14:paraId="00D523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232" w:leftChars="103" w:hanging="16" w:hangingChars="7"/>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r>
    </w:tbl>
    <w:p w14:paraId="1EA28271">
      <w:pPr>
        <w:pStyle w:val="2"/>
        <w:keepNext w:val="0"/>
        <w:keepLines w:val="0"/>
      </w:pPr>
      <w:bookmarkStart w:id="2" w:name="_Toc99006529"/>
      <w:r>
        <w:rPr>
          <w:rFonts w:hint="eastAsia"/>
        </w:rPr>
        <w:t>2、申报产品与《目录》中已获准境内注册医疗器械的对比说明</w:t>
      </w:r>
      <w:bookmarkEnd w:id="2"/>
    </w:p>
    <w:p w14:paraId="1BA57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leftChars="0" w:firstLine="560" w:firstLineChars="200"/>
        <w:jc w:val="left"/>
        <w:rPr>
          <w:rFonts w:ascii="宋体" w:hAnsi="宋体" w:eastAsia="宋体" w:cs="宋体"/>
          <w:kern w:val="0"/>
          <w:sz w:val="28"/>
          <w:szCs w:val="28"/>
        </w:rPr>
      </w:pPr>
      <w:r>
        <w:rPr>
          <w:rFonts w:hint="eastAsia" w:ascii="宋体" w:hAnsi="宋体" w:eastAsia="宋体" w:cs="宋体"/>
          <w:kern w:val="0"/>
          <w:sz w:val="28"/>
          <w:szCs w:val="28"/>
        </w:rPr>
        <w:t>本公司</w:t>
      </w:r>
      <w:r>
        <w:rPr>
          <w:rFonts w:hint="eastAsia" w:ascii="宋体" w:hAnsi="宋体" w:eastAsia="宋体" w:cs="宋体"/>
          <w:kern w:val="0"/>
          <w:sz w:val="28"/>
          <w:szCs w:val="28"/>
          <w:lang w:eastAsia="zh-CN"/>
        </w:rPr>
        <w:t>注册申报产品</w:t>
      </w:r>
      <w:r>
        <w:rPr>
          <w:rFonts w:hint="eastAsia" w:ascii="宋体" w:hAnsi="宋体" w:eastAsia="宋体" w:cs="宋体"/>
          <w:kern w:val="0"/>
          <w:sz w:val="28"/>
          <w:szCs w:val="28"/>
        </w:rPr>
        <w:t>与中***机构的全自动生化分析仪（注册证编号：粤械注准20172220874，型号/规格：XR210），为实质性等同的同类产品，基本原理、结构组成、制造材料、性能要求、安全标准、预期用途等方面基本等同且该同类产品上市销售无不良事故记录。依据国家药监局关于发布医疗器械临床评价技术指导原则等5项技术指导原则的通告（2021年第73号），将本***机构生产的全自动生化分析仪进行了对比，具体对比情况说明见申报产品与目录中已获准境内注册医疗器械对比表。</w:t>
      </w:r>
    </w:p>
    <w:p w14:paraId="016BB2DE">
      <w:pPr>
        <w:widowControl/>
        <w:spacing w:after="160" w:line="480" w:lineRule="exact"/>
        <w:ind w:left="1058" w:leftChars="504" w:right="-335" w:firstLine="723" w:firstLineChars="225"/>
        <w:jc w:val="center"/>
        <w:rPr>
          <w:rFonts w:hint="eastAsia" w:asciiTheme="majorEastAsia" w:hAnsiTheme="majorEastAsia" w:eastAsiaTheme="majorEastAsia" w:cstheme="majorEastAsia"/>
          <w:b/>
          <w:bCs/>
          <w:kern w:val="0"/>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701" w:right="1418" w:bottom="1701" w:left="1418" w:header="1134" w:footer="567" w:gutter="0"/>
          <w:cols w:space="425" w:num="1"/>
          <w:docGrid w:type="lines" w:linePitch="312" w:charSpace="0"/>
        </w:sectPr>
      </w:pPr>
    </w:p>
    <w:p w14:paraId="1BB9A653">
      <w:pPr>
        <w:widowControl/>
        <w:spacing w:after="160" w:line="480" w:lineRule="exact"/>
        <w:ind w:left="238" w:right="-335" w:hanging="22"/>
        <w:jc w:val="center"/>
        <w:rPr>
          <w:rFonts w:hint="eastAsia" w:asciiTheme="majorEastAsia" w:hAnsiTheme="majorEastAsia" w:eastAsiaTheme="majorEastAsia" w:cstheme="majorEastAsia"/>
          <w:b/>
          <w:bCs/>
          <w:kern w:val="0"/>
          <w:sz w:val="32"/>
          <w:szCs w:val="32"/>
        </w:rPr>
      </w:pPr>
      <w:r>
        <w:rPr>
          <w:rFonts w:hint="eastAsia" w:asciiTheme="majorEastAsia" w:hAnsiTheme="majorEastAsia" w:eastAsiaTheme="majorEastAsia" w:cstheme="majorEastAsia"/>
          <w:b/>
          <w:bCs/>
          <w:kern w:val="0"/>
          <w:sz w:val="32"/>
          <w:szCs w:val="32"/>
        </w:rPr>
        <w:t>申报产品与目录中已获准境内注册医疗器械对比表</w:t>
      </w:r>
    </w:p>
    <w:tbl>
      <w:tblPr>
        <w:tblStyle w:val="9"/>
        <w:tblpPr w:leftFromText="180" w:rightFromText="180" w:vertAnchor="text" w:horzAnchor="page" w:tblpX="1912" w:tblpY="627"/>
        <w:tblOverlap w:val="never"/>
        <w:tblW w:w="13309"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3675"/>
        <w:gridCol w:w="3915"/>
        <w:gridCol w:w="1590"/>
        <w:gridCol w:w="1665"/>
        <w:gridCol w:w="1210"/>
      </w:tblGrid>
      <w:tr w14:paraId="012E38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1254" w:type="dxa"/>
            <w:vAlign w:val="center"/>
          </w:tcPr>
          <w:p w14:paraId="3C2E700E">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对比项目</w:t>
            </w:r>
          </w:p>
        </w:tc>
        <w:tc>
          <w:tcPr>
            <w:tcW w:w="3675" w:type="dxa"/>
            <w:vAlign w:val="center"/>
          </w:tcPr>
          <w:p w14:paraId="5C8DAD60">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目录中医疗器械</w:t>
            </w:r>
          </w:p>
        </w:tc>
        <w:tc>
          <w:tcPr>
            <w:tcW w:w="3915" w:type="dxa"/>
            <w:vAlign w:val="center"/>
          </w:tcPr>
          <w:p w14:paraId="42412DC4">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申报产品</w:t>
            </w:r>
          </w:p>
        </w:tc>
        <w:tc>
          <w:tcPr>
            <w:tcW w:w="1590" w:type="dxa"/>
            <w:vAlign w:val="center"/>
          </w:tcPr>
          <w:p w14:paraId="598595A3">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差异性</w:t>
            </w:r>
          </w:p>
        </w:tc>
        <w:tc>
          <w:tcPr>
            <w:tcW w:w="1665" w:type="dxa"/>
            <w:vAlign w:val="center"/>
          </w:tcPr>
          <w:p w14:paraId="5998C801">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支持性</w:t>
            </w:r>
          </w:p>
          <w:p w14:paraId="16EF3144">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资料概述</w:t>
            </w:r>
          </w:p>
        </w:tc>
        <w:tc>
          <w:tcPr>
            <w:tcW w:w="1210" w:type="dxa"/>
            <w:vAlign w:val="center"/>
          </w:tcPr>
          <w:p w14:paraId="7141B79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分析研究资料概述</w:t>
            </w:r>
          </w:p>
        </w:tc>
      </w:tr>
      <w:tr w14:paraId="451C72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448" w:hRule="atLeast"/>
        </w:trPr>
        <w:tc>
          <w:tcPr>
            <w:tcW w:w="1254" w:type="dxa"/>
            <w:vAlign w:val="center"/>
          </w:tcPr>
          <w:p w14:paraId="65313296">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基本原理（工作原理/作用机理）</w:t>
            </w:r>
          </w:p>
        </w:tc>
        <w:tc>
          <w:tcPr>
            <w:tcW w:w="3675" w:type="dxa"/>
            <w:vAlign w:val="center"/>
          </w:tcPr>
          <w:p w14:paraId="0AD3D5B6">
            <w:pPr>
              <w:widowControl/>
              <w:spacing w:after="160" w:line="360" w:lineRule="exact"/>
              <w:jc w:val="left"/>
              <w:rPr>
                <w:rFonts w:hint="eastAsia" w:ascii="宋体" w:hAnsi="宋体" w:eastAsia="宋体" w:cs="宋体"/>
                <w:kern w:val="0"/>
                <w:sz w:val="24"/>
                <w:szCs w:val="24"/>
                <w:highlight w:val="yellow"/>
              </w:rPr>
            </w:pPr>
            <w:r>
              <w:rPr>
                <w:rFonts w:hint="eastAsia" w:ascii="宋体" w:hAnsi="宋体" w:eastAsia="宋体" w:cs="宋体"/>
                <w:color w:val="auto"/>
                <w:kern w:val="0"/>
                <w:sz w:val="24"/>
                <w:szCs w:val="24"/>
              </w:rPr>
              <w:t>分光光度法</w:t>
            </w:r>
          </w:p>
        </w:tc>
        <w:tc>
          <w:tcPr>
            <w:tcW w:w="3915" w:type="dxa"/>
            <w:vAlign w:val="center"/>
          </w:tcPr>
          <w:p w14:paraId="2EBBF9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使加入到比色杯内的样本和试剂通过加热装置温育并进行反应，反应后的被检测液体经过一束单色光/白光射入，透过被测液体的光信号被检测后转换成电信号，对该信号进行适当转换及运算处理，参照标准曲线，从而可得到被测液体的浓度。即分光光度法。</w:t>
            </w:r>
            <w:bookmarkStart w:id="3" w:name="_GoBack"/>
            <w:bookmarkEnd w:id="3"/>
          </w:p>
        </w:tc>
        <w:tc>
          <w:tcPr>
            <w:tcW w:w="1590" w:type="dxa"/>
            <w:vAlign w:val="center"/>
          </w:tcPr>
          <w:p w14:paraId="25124766">
            <w:pPr>
              <w:widowControl/>
              <w:spacing w:after="160" w:line="360" w:lineRule="exact"/>
              <w:ind w:left="216" w:firstLine="240" w:firstLineChars="100"/>
              <w:jc w:val="both"/>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665" w:type="dxa"/>
            <w:vAlign w:val="center"/>
          </w:tcPr>
          <w:p w14:paraId="4949E8A6">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本申报产品说明书、 XR210产品说明书</w:t>
            </w:r>
          </w:p>
        </w:tc>
        <w:tc>
          <w:tcPr>
            <w:tcW w:w="1210" w:type="dxa"/>
            <w:vAlign w:val="center"/>
          </w:tcPr>
          <w:p w14:paraId="336F04EB">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32ACE86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54" w:type="dxa"/>
            <w:vAlign w:val="center"/>
          </w:tcPr>
          <w:p w14:paraId="6F5ADAE0">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结构组成</w:t>
            </w:r>
          </w:p>
        </w:tc>
        <w:tc>
          <w:tcPr>
            <w:tcW w:w="3675" w:type="dxa"/>
            <w:vAlign w:val="center"/>
          </w:tcPr>
          <w:p w14:paraId="0C3112A3">
            <w:pPr>
              <w:widowControl/>
              <w:spacing w:after="160" w:line="360" w:lineRule="exact"/>
              <w:jc w:val="left"/>
              <w:rPr>
                <w:rFonts w:hint="eastAsia" w:ascii="宋体" w:hAnsi="宋体" w:eastAsia="宋体" w:cs="宋体"/>
                <w:kern w:val="0"/>
                <w:sz w:val="24"/>
                <w:szCs w:val="24"/>
                <w:highlight w:val="yellow"/>
                <w:lang w:eastAsia="zh-CN"/>
              </w:rPr>
            </w:pPr>
            <w:r>
              <w:rPr>
                <w:rFonts w:hint="eastAsia" w:ascii="宋体" w:hAnsi="宋体" w:eastAsia="宋体" w:cs="宋体"/>
                <w:kern w:val="0"/>
                <w:sz w:val="24"/>
                <w:szCs w:val="24"/>
                <w:highlight w:val="none"/>
                <w:lang w:eastAsia="zh-CN"/>
              </w:rPr>
              <w:t>由分析部和操作部组成</w:t>
            </w:r>
          </w:p>
        </w:tc>
        <w:tc>
          <w:tcPr>
            <w:tcW w:w="3915" w:type="dxa"/>
            <w:vAlign w:val="center"/>
          </w:tcPr>
          <w:p w14:paraId="34E77D77">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分析部由</w:t>
            </w:r>
            <w:r>
              <w:rPr>
                <w:rFonts w:hint="eastAsia" w:asciiTheme="minorEastAsia" w:hAnsiTheme="minorEastAsia" w:cstheme="minorEastAsia"/>
                <w:kern w:val="0"/>
                <w:sz w:val="24"/>
                <w:lang w:val="en-US" w:eastAsia="zh-CN"/>
              </w:rPr>
              <w:t>加样机构、反应仓、光度计及全自动生化分析仪软件（发布版本：V1.00）组成</w:t>
            </w:r>
            <w:r>
              <w:rPr>
                <w:rFonts w:hint="eastAsia" w:asciiTheme="minorEastAsia" w:hAnsiTheme="minorEastAsia" w:cstheme="minorEastAsia"/>
                <w:kern w:val="0"/>
                <w:sz w:val="24"/>
              </w:rPr>
              <w:t>。</w:t>
            </w:r>
          </w:p>
        </w:tc>
        <w:tc>
          <w:tcPr>
            <w:tcW w:w="1590" w:type="dxa"/>
          </w:tcPr>
          <w:p w14:paraId="2FC513CD">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仪器单人份测试</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无清洗系统。</w:t>
            </w:r>
          </w:p>
        </w:tc>
        <w:tc>
          <w:tcPr>
            <w:tcW w:w="1665" w:type="dxa"/>
            <w:vAlign w:val="center"/>
          </w:tcPr>
          <w:p w14:paraId="36956395">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本申报产品说明书、 XR210产品说明书</w:t>
            </w:r>
          </w:p>
        </w:tc>
        <w:tc>
          <w:tcPr>
            <w:tcW w:w="1210" w:type="dxa"/>
            <w:vAlign w:val="center"/>
          </w:tcPr>
          <w:p w14:paraId="1C1A293E">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66DAD8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1254" w:type="dxa"/>
            <w:vAlign w:val="center"/>
          </w:tcPr>
          <w:p w14:paraId="2E5C3F5D">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产品制造材料或与人体接触部分的制造材料</w:t>
            </w:r>
          </w:p>
        </w:tc>
        <w:tc>
          <w:tcPr>
            <w:tcW w:w="3675" w:type="dxa"/>
            <w:vAlign w:val="center"/>
          </w:tcPr>
          <w:p w14:paraId="23F79001">
            <w:pPr>
              <w:widowControl/>
              <w:jc w:val="center"/>
              <w:rPr>
                <w:rFonts w:hint="eastAsia" w:ascii="宋体" w:hAnsi="宋体" w:eastAsia="宋体" w:cs="宋体"/>
                <w:color w:val="EE0000"/>
                <w:kern w:val="0"/>
                <w:sz w:val="24"/>
                <w:szCs w:val="24"/>
              </w:rPr>
            </w:pPr>
            <w:r>
              <w:rPr>
                <w:rFonts w:hint="eastAsia" w:ascii="宋体" w:hAnsi="宋体" w:eastAsia="宋体" w:cs="宋体"/>
                <w:color w:val="auto"/>
                <w:kern w:val="0"/>
                <w:sz w:val="24"/>
                <w:szCs w:val="24"/>
              </w:rPr>
              <w:t>ABS塑料、冷轧钣金、硬铝机加件</w:t>
            </w:r>
          </w:p>
        </w:tc>
        <w:tc>
          <w:tcPr>
            <w:tcW w:w="3915" w:type="dxa"/>
            <w:vAlign w:val="center"/>
          </w:tcPr>
          <w:p w14:paraId="6B5C3932">
            <w:pPr>
              <w:widowControl/>
              <w:jc w:val="center"/>
              <w:rPr>
                <w:rFonts w:hint="eastAsia" w:ascii="宋体" w:hAnsi="宋体" w:eastAsia="宋体" w:cs="宋体"/>
                <w:color w:val="EE0000"/>
                <w:kern w:val="0"/>
                <w:sz w:val="24"/>
                <w:szCs w:val="24"/>
              </w:rPr>
            </w:pPr>
            <w:r>
              <w:rPr>
                <w:rFonts w:hint="eastAsia" w:ascii="宋体" w:hAnsi="宋体" w:eastAsia="宋体" w:cs="宋体"/>
                <w:color w:val="auto"/>
                <w:kern w:val="0"/>
                <w:sz w:val="24"/>
                <w:szCs w:val="24"/>
              </w:rPr>
              <w:t>ABS塑料、冷轧钣金、硬铝机加件</w:t>
            </w:r>
          </w:p>
        </w:tc>
        <w:tc>
          <w:tcPr>
            <w:tcW w:w="1590" w:type="dxa"/>
            <w:vAlign w:val="center"/>
          </w:tcPr>
          <w:p w14:paraId="4C0B3444">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665" w:type="dxa"/>
            <w:vAlign w:val="center"/>
          </w:tcPr>
          <w:p w14:paraId="64E0ED57">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本申报产品物料清单</w:t>
            </w:r>
          </w:p>
        </w:tc>
        <w:tc>
          <w:tcPr>
            <w:tcW w:w="1210" w:type="dxa"/>
            <w:vAlign w:val="center"/>
          </w:tcPr>
          <w:p w14:paraId="23FE1E3D">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75E786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15" w:hRule="atLeast"/>
        </w:trPr>
        <w:tc>
          <w:tcPr>
            <w:tcW w:w="1254" w:type="dxa"/>
            <w:vAlign w:val="center"/>
          </w:tcPr>
          <w:p w14:paraId="74BA7911">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性能要求</w:t>
            </w:r>
          </w:p>
        </w:tc>
        <w:tc>
          <w:tcPr>
            <w:tcW w:w="3675" w:type="dxa"/>
            <w:shd w:val="clear" w:color="auto" w:fill="auto"/>
            <w:vAlign w:val="center"/>
          </w:tcPr>
          <w:p w14:paraId="7F1BB316">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2.1 杂散光</w:t>
            </w:r>
          </w:p>
          <w:p w14:paraId="39D18C97">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lang w:val="en-US" w:eastAsia="zh-CN"/>
              </w:rPr>
            </w:pPr>
            <w:r>
              <w:rPr>
                <w:rFonts w:hint="eastAsia" w:asciiTheme="minorEastAsia" w:hAnsiTheme="minorEastAsia" w:cstheme="minorEastAsia"/>
                <w:kern w:val="0"/>
                <w:sz w:val="24"/>
              </w:rPr>
              <w:t>吸光度不小于2.3。</w:t>
            </w:r>
          </w:p>
        </w:tc>
        <w:tc>
          <w:tcPr>
            <w:tcW w:w="3915" w:type="dxa"/>
            <w:vAlign w:val="center"/>
          </w:tcPr>
          <w:p w14:paraId="65D18062">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2.1 杂散光</w:t>
            </w:r>
          </w:p>
          <w:p w14:paraId="61B2664F">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吸光度不小于2.3。</w:t>
            </w:r>
          </w:p>
        </w:tc>
        <w:tc>
          <w:tcPr>
            <w:tcW w:w="1590" w:type="dxa"/>
            <w:vAlign w:val="center"/>
          </w:tcPr>
          <w:p w14:paraId="140BC5A9">
            <w:pPr>
              <w:keepNext w:val="0"/>
              <w:keepLines w:val="0"/>
              <w:pageBreakBefore w:val="0"/>
              <w:widowControl/>
              <w:kinsoku/>
              <w:wordWrap/>
              <w:overflowPunct/>
              <w:topLinePunct w:val="0"/>
              <w:bidi w:val="0"/>
              <w:adjustRightInd/>
              <w:snapToGrid/>
              <w:spacing w:line="360" w:lineRule="exact"/>
              <w:jc w:val="center"/>
              <w:textAlignment w:val="auto"/>
              <w:rPr>
                <w:rFonts w:hint="eastAsia" w:asciiTheme="minorEastAsia" w:hAnsiTheme="minorEastAsia" w:cstheme="minorEastAsia"/>
                <w:kern w:val="0"/>
                <w:sz w:val="24"/>
              </w:rPr>
            </w:pPr>
          </w:p>
          <w:p w14:paraId="22AA9985">
            <w:pPr>
              <w:keepNext w:val="0"/>
              <w:keepLines w:val="0"/>
              <w:pageBreakBefore w:val="0"/>
              <w:widowControl/>
              <w:kinsoku/>
              <w:wordWrap/>
              <w:overflowPunct/>
              <w:topLinePunct w:val="0"/>
              <w:bidi w:val="0"/>
              <w:adjustRightInd/>
              <w:snapToGrid/>
              <w:spacing w:line="360" w:lineRule="exact"/>
              <w:jc w:val="center"/>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665" w:type="dxa"/>
            <w:vAlign w:val="center"/>
          </w:tcPr>
          <w:p w14:paraId="05D054D8">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10" w:type="dxa"/>
            <w:vAlign w:val="center"/>
          </w:tcPr>
          <w:p w14:paraId="33844F6B">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490C0F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5" w:hRule="atLeast"/>
        </w:trPr>
        <w:tc>
          <w:tcPr>
            <w:tcW w:w="1254" w:type="dxa"/>
            <w:vAlign w:val="center"/>
          </w:tcPr>
          <w:p w14:paraId="4E2E1265">
            <w:pPr>
              <w:widowControl/>
              <w:spacing w:after="160" w:line="360" w:lineRule="exact"/>
              <w:jc w:val="left"/>
              <w:rPr>
                <w:rFonts w:hint="eastAsia" w:asciiTheme="minorEastAsia" w:hAnsiTheme="minorEastAsia" w:cstheme="minorEastAsia"/>
                <w:kern w:val="0"/>
                <w:sz w:val="24"/>
              </w:rPr>
            </w:pPr>
          </w:p>
        </w:tc>
        <w:tc>
          <w:tcPr>
            <w:tcW w:w="3675" w:type="dxa"/>
            <w:shd w:val="clear" w:color="auto" w:fill="auto"/>
            <w:vAlign w:val="center"/>
          </w:tcPr>
          <w:p w14:paraId="3340C89D">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2.2 吸光度线性范围</w:t>
            </w:r>
          </w:p>
          <w:p w14:paraId="1B1A55A6">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eastAsiaTheme="minorEastAsia" w:cstheme="minorEastAsia"/>
                <w:kern w:val="0"/>
                <w:sz w:val="24"/>
                <w:szCs w:val="24"/>
                <w:lang w:val="en-US" w:eastAsia="zh-CN" w:bidi="ar-SA"/>
              </w:rPr>
            </w:pPr>
            <w:r>
              <w:rPr>
                <w:rFonts w:hint="eastAsia" w:asciiTheme="minorEastAsia" w:hAnsiTheme="minorEastAsia" w:cstheme="minorEastAsia"/>
                <w:kern w:val="0"/>
                <w:sz w:val="24"/>
              </w:rPr>
              <w:t>相对偏倚在±5%范围内的最大吸光度应不小于2.0。</w:t>
            </w:r>
          </w:p>
        </w:tc>
        <w:tc>
          <w:tcPr>
            <w:tcW w:w="3915" w:type="dxa"/>
            <w:vAlign w:val="center"/>
          </w:tcPr>
          <w:p w14:paraId="64C1A87D">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2.2 吸光度线性范围</w:t>
            </w:r>
          </w:p>
          <w:p w14:paraId="0F4F771A">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相对偏倚在±5%范围内的最大吸光度应不小于2.0。</w:t>
            </w:r>
          </w:p>
        </w:tc>
        <w:tc>
          <w:tcPr>
            <w:tcW w:w="1590" w:type="dxa"/>
            <w:vAlign w:val="center"/>
          </w:tcPr>
          <w:p w14:paraId="7698C84E">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665" w:type="dxa"/>
          </w:tcPr>
          <w:p w14:paraId="5E494A73">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10" w:type="dxa"/>
            <w:vAlign w:val="center"/>
          </w:tcPr>
          <w:p w14:paraId="3CBA1032">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30D488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254" w:type="dxa"/>
            <w:vAlign w:val="center"/>
          </w:tcPr>
          <w:p w14:paraId="6EC14A10">
            <w:pPr>
              <w:widowControl/>
              <w:spacing w:after="160" w:line="360" w:lineRule="exact"/>
              <w:jc w:val="left"/>
              <w:rPr>
                <w:rFonts w:hint="eastAsia" w:asciiTheme="minorEastAsia" w:hAnsiTheme="minorEastAsia" w:cstheme="minorEastAsia"/>
                <w:kern w:val="0"/>
                <w:sz w:val="24"/>
              </w:rPr>
            </w:pPr>
          </w:p>
        </w:tc>
        <w:tc>
          <w:tcPr>
            <w:tcW w:w="3675" w:type="dxa"/>
            <w:shd w:val="clear" w:color="auto" w:fill="auto"/>
            <w:vAlign w:val="center"/>
          </w:tcPr>
          <w:p w14:paraId="2615EA37">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2.3 吸光度准确度</w:t>
            </w:r>
          </w:p>
          <w:p w14:paraId="702F22B3">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lang w:eastAsia="zh-CN"/>
              </w:rPr>
            </w:pPr>
            <w:r>
              <w:rPr>
                <w:rFonts w:hint="eastAsia" w:asciiTheme="minorEastAsia" w:hAnsiTheme="minorEastAsia" w:cstheme="minorEastAsia"/>
                <w:kern w:val="0"/>
                <w:sz w:val="24"/>
              </w:rPr>
              <w:t>吸光度值0.5</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允许误差±0.025</w:t>
            </w:r>
            <w:r>
              <w:rPr>
                <w:rFonts w:hint="eastAsia" w:asciiTheme="minorEastAsia" w:hAnsiTheme="minorEastAsia" w:cstheme="minorEastAsia"/>
                <w:kern w:val="0"/>
                <w:sz w:val="24"/>
                <w:lang w:eastAsia="zh-CN"/>
              </w:rPr>
              <w:t>；</w:t>
            </w:r>
          </w:p>
          <w:p w14:paraId="3DF9A731">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lang w:val="en-US" w:eastAsia="zh-CN"/>
              </w:rPr>
            </w:pPr>
            <w:r>
              <w:rPr>
                <w:rFonts w:hint="eastAsia" w:asciiTheme="minorEastAsia" w:hAnsiTheme="minorEastAsia" w:cstheme="minorEastAsia"/>
                <w:kern w:val="0"/>
                <w:sz w:val="24"/>
              </w:rPr>
              <w:t>吸光度值1.0</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允许误差±0.07。</w:t>
            </w:r>
          </w:p>
        </w:tc>
        <w:tc>
          <w:tcPr>
            <w:tcW w:w="3915" w:type="dxa"/>
            <w:vAlign w:val="center"/>
          </w:tcPr>
          <w:p w14:paraId="3C945A48">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2.3 吸光度准确度</w:t>
            </w:r>
          </w:p>
          <w:p w14:paraId="0DBCC700">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lang w:eastAsia="zh-CN"/>
              </w:rPr>
            </w:pPr>
            <w:r>
              <w:rPr>
                <w:rFonts w:hint="eastAsia" w:asciiTheme="minorEastAsia" w:hAnsiTheme="minorEastAsia" w:cstheme="minorEastAsia"/>
                <w:kern w:val="0"/>
                <w:sz w:val="24"/>
              </w:rPr>
              <w:t>吸光度值0.5</w:t>
            </w:r>
            <w:r>
              <w:rPr>
                <w:rFonts w:hint="eastAsia" w:asciiTheme="minorEastAsia" w:hAnsiTheme="minorEastAsia" w:cstheme="minorEastAsia"/>
                <w:kern w:val="0"/>
                <w:sz w:val="24"/>
                <w:lang w:eastAsia="zh-CN"/>
              </w:rPr>
              <w:t>，</w:t>
            </w:r>
            <w:r>
              <w:rPr>
                <w:rFonts w:hint="eastAsia" w:asciiTheme="minorEastAsia" w:hAnsiTheme="minorEastAsia" w:cstheme="minorEastAsia"/>
                <w:kern w:val="0"/>
                <w:sz w:val="24"/>
              </w:rPr>
              <w:t>允许误差±0.025</w:t>
            </w:r>
            <w:r>
              <w:rPr>
                <w:rFonts w:hint="eastAsia" w:asciiTheme="minorEastAsia" w:hAnsiTheme="minorEastAsia" w:cstheme="minorEastAsia"/>
                <w:kern w:val="0"/>
                <w:sz w:val="24"/>
                <w:lang w:eastAsia="zh-CN"/>
              </w:rPr>
              <w:t>；</w:t>
            </w:r>
          </w:p>
          <w:p w14:paraId="76E13C7A">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吸光度值1.0 允许误差±0.07。</w:t>
            </w:r>
          </w:p>
        </w:tc>
        <w:tc>
          <w:tcPr>
            <w:tcW w:w="1590" w:type="dxa"/>
            <w:vAlign w:val="center"/>
          </w:tcPr>
          <w:p w14:paraId="39DA08C3">
            <w:pPr>
              <w:keepNext w:val="0"/>
              <w:keepLines w:val="0"/>
              <w:pageBreakBefore w:val="0"/>
              <w:widowControl/>
              <w:kinsoku/>
              <w:wordWrap/>
              <w:overflowPunct/>
              <w:topLinePunct w:val="0"/>
              <w:bidi w:val="0"/>
              <w:adjustRightInd/>
              <w:snapToGrid/>
              <w:spacing w:line="360" w:lineRule="exact"/>
              <w:jc w:val="center"/>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665" w:type="dxa"/>
          </w:tcPr>
          <w:p w14:paraId="7C8EF5BB">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10" w:type="dxa"/>
            <w:vAlign w:val="center"/>
          </w:tcPr>
          <w:p w14:paraId="1375FF6C">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5CF1A1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254" w:type="dxa"/>
            <w:vAlign w:val="center"/>
          </w:tcPr>
          <w:p w14:paraId="648D639D">
            <w:pPr>
              <w:widowControl/>
              <w:spacing w:after="160" w:line="360" w:lineRule="exact"/>
              <w:jc w:val="left"/>
              <w:rPr>
                <w:rFonts w:hint="eastAsia" w:asciiTheme="minorEastAsia" w:hAnsiTheme="minorEastAsia" w:cstheme="minorEastAsia"/>
                <w:kern w:val="0"/>
                <w:sz w:val="24"/>
              </w:rPr>
            </w:pPr>
          </w:p>
        </w:tc>
        <w:tc>
          <w:tcPr>
            <w:tcW w:w="3675" w:type="dxa"/>
            <w:shd w:val="clear" w:color="auto" w:fill="auto"/>
            <w:vAlign w:val="center"/>
          </w:tcPr>
          <w:p w14:paraId="7FBFEFE6">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2.4 吸光度的稳定性</w:t>
            </w:r>
          </w:p>
          <w:p w14:paraId="72865A0B">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lang w:val="en-US" w:eastAsia="zh-CN"/>
              </w:rPr>
            </w:pPr>
            <w:r>
              <w:rPr>
                <w:rFonts w:hint="eastAsia" w:asciiTheme="minorEastAsia" w:hAnsiTheme="minorEastAsia" w:cstheme="minorEastAsia"/>
                <w:kern w:val="0"/>
                <w:sz w:val="24"/>
              </w:rPr>
              <w:t>吸光度的变化不应大于0.01。</w:t>
            </w:r>
          </w:p>
        </w:tc>
        <w:tc>
          <w:tcPr>
            <w:tcW w:w="3915" w:type="dxa"/>
            <w:vAlign w:val="center"/>
          </w:tcPr>
          <w:p w14:paraId="37526612">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2.4 吸光度的稳定性</w:t>
            </w:r>
          </w:p>
          <w:p w14:paraId="0BFBDAC2">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 xml:space="preserve"> 吸光度的变化不应大于0.01。</w:t>
            </w:r>
          </w:p>
        </w:tc>
        <w:tc>
          <w:tcPr>
            <w:tcW w:w="1590" w:type="dxa"/>
            <w:vAlign w:val="center"/>
          </w:tcPr>
          <w:p w14:paraId="5803FD32">
            <w:pPr>
              <w:keepNext w:val="0"/>
              <w:keepLines w:val="0"/>
              <w:pageBreakBefore w:val="0"/>
              <w:widowControl/>
              <w:kinsoku/>
              <w:wordWrap/>
              <w:overflowPunct/>
              <w:topLinePunct w:val="0"/>
              <w:bidi w:val="0"/>
              <w:adjustRightInd/>
              <w:snapToGrid/>
              <w:spacing w:line="360" w:lineRule="exact"/>
              <w:jc w:val="center"/>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665" w:type="dxa"/>
          </w:tcPr>
          <w:p w14:paraId="2C155443">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10" w:type="dxa"/>
            <w:vAlign w:val="center"/>
          </w:tcPr>
          <w:p w14:paraId="494E53CC">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71711E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04" w:hRule="atLeast"/>
        </w:trPr>
        <w:tc>
          <w:tcPr>
            <w:tcW w:w="1254" w:type="dxa"/>
            <w:vAlign w:val="center"/>
          </w:tcPr>
          <w:p w14:paraId="3CCFCCBB">
            <w:pPr>
              <w:widowControl/>
              <w:spacing w:after="160" w:line="360" w:lineRule="exact"/>
              <w:jc w:val="left"/>
              <w:rPr>
                <w:rFonts w:hint="eastAsia" w:asciiTheme="minorEastAsia" w:hAnsiTheme="minorEastAsia" w:cstheme="minorEastAsia"/>
                <w:kern w:val="0"/>
                <w:sz w:val="24"/>
              </w:rPr>
            </w:pPr>
          </w:p>
        </w:tc>
        <w:tc>
          <w:tcPr>
            <w:tcW w:w="3675" w:type="dxa"/>
            <w:shd w:val="clear" w:color="auto" w:fill="auto"/>
            <w:vAlign w:val="center"/>
          </w:tcPr>
          <w:p w14:paraId="2D2DA8F6">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2.5 吸光度的重复性</w:t>
            </w:r>
          </w:p>
          <w:p w14:paraId="649B5D03">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lang w:val="en-US" w:eastAsia="zh-CN"/>
              </w:rPr>
            </w:pPr>
            <w:r>
              <w:rPr>
                <w:rFonts w:hint="eastAsia" w:asciiTheme="minorEastAsia" w:hAnsiTheme="minorEastAsia" w:cstheme="minorEastAsia"/>
                <w:kern w:val="0"/>
                <w:sz w:val="24"/>
              </w:rPr>
              <w:t>用变异系数，表示不应大于1.5%。</w:t>
            </w:r>
          </w:p>
        </w:tc>
        <w:tc>
          <w:tcPr>
            <w:tcW w:w="3915" w:type="dxa"/>
            <w:vAlign w:val="center"/>
          </w:tcPr>
          <w:p w14:paraId="2D45FA1F">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2.5 吸光度的重复性</w:t>
            </w:r>
          </w:p>
          <w:p w14:paraId="0AFA6ABB">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用变异系数，表示不应大于1.5%。</w:t>
            </w:r>
          </w:p>
        </w:tc>
        <w:tc>
          <w:tcPr>
            <w:tcW w:w="1590" w:type="dxa"/>
            <w:vAlign w:val="center"/>
          </w:tcPr>
          <w:p w14:paraId="43DD3018">
            <w:pPr>
              <w:keepNext w:val="0"/>
              <w:keepLines w:val="0"/>
              <w:pageBreakBefore w:val="0"/>
              <w:widowControl/>
              <w:kinsoku/>
              <w:wordWrap/>
              <w:overflowPunct/>
              <w:topLinePunct w:val="0"/>
              <w:bidi w:val="0"/>
              <w:adjustRightInd/>
              <w:snapToGrid/>
              <w:spacing w:line="360" w:lineRule="exact"/>
              <w:jc w:val="center"/>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665" w:type="dxa"/>
          </w:tcPr>
          <w:p w14:paraId="178AF059">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10" w:type="dxa"/>
            <w:vAlign w:val="center"/>
          </w:tcPr>
          <w:p w14:paraId="483341D3">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629D5E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75" w:hRule="atLeast"/>
        </w:trPr>
        <w:tc>
          <w:tcPr>
            <w:tcW w:w="1254" w:type="dxa"/>
            <w:vAlign w:val="center"/>
          </w:tcPr>
          <w:p w14:paraId="1B9A05B4">
            <w:pPr>
              <w:widowControl/>
              <w:spacing w:after="160" w:line="360" w:lineRule="exact"/>
              <w:jc w:val="left"/>
              <w:rPr>
                <w:rFonts w:hint="eastAsia" w:asciiTheme="minorEastAsia" w:hAnsiTheme="minorEastAsia" w:cstheme="minorEastAsia"/>
                <w:kern w:val="0"/>
                <w:sz w:val="24"/>
              </w:rPr>
            </w:pPr>
          </w:p>
        </w:tc>
        <w:tc>
          <w:tcPr>
            <w:tcW w:w="3675" w:type="dxa"/>
            <w:shd w:val="clear" w:color="auto" w:fill="auto"/>
            <w:vAlign w:val="center"/>
          </w:tcPr>
          <w:p w14:paraId="3F5A79DE">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2.6 温度准确度与波动度</w:t>
            </w:r>
          </w:p>
          <w:p w14:paraId="4F69E82D">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lang w:val="en-US" w:eastAsia="zh-CN"/>
              </w:rPr>
            </w:pPr>
            <w:r>
              <w:rPr>
                <w:rFonts w:hint="eastAsia" w:asciiTheme="minorEastAsia" w:hAnsiTheme="minorEastAsia" w:cstheme="minorEastAsia"/>
                <w:kern w:val="0"/>
                <w:sz w:val="24"/>
              </w:rPr>
              <w:t>温度值在设定值的±0.3℃内，波动度不大于±0.2℃。</w:t>
            </w:r>
          </w:p>
        </w:tc>
        <w:tc>
          <w:tcPr>
            <w:tcW w:w="3915" w:type="dxa"/>
            <w:vAlign w:val="center"/>
          </w:tcPr>
          <w:p w14:paraId="37A1C886">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2.6 温度准确度与波动度</w:t>
            </w:r>
          </w:p>
          <w:p w14:paraId="4608EDCE">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温度值在设定值的±0.3℃内，波动度不大于±0.2℃。</w:t>
            </w:r>
          </w:p>
        </w:tc>
        <w:tc>
          <w:tcPr>
            <w:tcW w:w="1590" w:type="dxa"/>
            <w:vAlign w:val="center"/>
          </w:tcPr>
          <w:p w14:paraId="5F97C6E2">
            <w:pPr>
              <w:keepNext w:val="0"/>
              <w:keepLines w:val="0"/>
              <w:pageBreakBefore w:val="0"/>
              <w:widowControl/>
              <w:kinsoku/>
              <w:wordWrap/>
              <w:overflowPunct/>
              <w:topLinePunct w:val="0"/>
              <w:bidi w:val="0"/>
              <w:adjustRightInd/>
              <w:snapToGrid/>
              <w:spacing w:line="360" w:lineRule="exact"/>
              <w:jc w:val="center"/>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665" w:type="dxa"/>
          </w:tcPr>
          <w:p w14:paraId="5CB5BE24">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10" w:type="dxa"/>
            <w:vAlign w:val="center"/>
          </w:tcPr>
          <w:p w14:paraId="434C5673">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2F4AFA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35" w:hRule="atLeast"/>
        </w:trPr>
        <w:tc>
          <w:tcPr>
            <w:tcW w:w="1254" w:type="dxa"/>
            <w:vAlign w:val="center"/>
          </w:tcPr>
          <w:p w14:paraId="1BBA5240">
            <w:pPr>
              <w:widowControl/>
              <w:spacing w:after="160" w:line="360" w:lineRule="exact"/>
              <w:jc w:val="left"/>
              <w:rPr>
                <w:rFonts w:hint="eastAsia" w:asciiTheme="minorEastAsia" w:hAnsiTheme="minorEastAsia" w:cstheme="minorEastAsia"/>
                <w:kern w:val="0"/>
                <w:sz w:val="24"/>
              </w:rPr>
            </w:pPr>
          </w:p>
        </w:tc>
        <w:tc>
          <w:tcPr>
            <w:tcW w:w="3675" w:type="dxa"/>
            <w:vAlign w:val="center"/>
          </w:tcPr>
          <w:p w14:paraId="55F217F2">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lang w:val="en-US" w:eastAsia="zh-CN"/>
              </w:rPr>
              <w:t>2.7</w:t>
            </w:r>
            <w:r>
              <w:rPr>
                <w:rFonts w:hint="eastAsia" w:asciiTheme="minorEastAsia" w:hAnsiTheme="minorEastAsia" w:cstheme="minorEastAsia"/>
                <w:kern w:val="0"/>
                <w:sz w:val="24"/>
              </w:rPr>
              <w:t>样品携带污染</w:t>
            </w:r>
          </w:p>
          <w:p w14:paraId="47D581FB">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样品携带污染率应不大于0.5%。</w:t>
            </w:r>
          </w:p>
        </w:tc>
        <w:tc>
          <w:tcPr>
            <w:tcW w:w="3915" w:type="dxa"/>
            <w:vAlign w:val="center"/>
          </w:tcPr>
          <w:p w14:paraId="438D8FAE">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lang w:val="en-US" w:eastAsia="zh-CN"/>
              </w:rPr>
            </w:pPr>
            <w:r>
              <w:rPr>
                <w:rFonts w:hint="eastAsia" w:asciiTheme="minorEastAsia" w:hAnsiTheme="minorEastAsia" w:cstheme="minorEastAsia"/>
                <w:kern w:val="0"/>
                <w:sz w:val="24"/>
                <w:lang w:val="en-US" w:eastAsia="zh-CN"/>
              </w:rPr>
              <w:t>/</w:t>
            </w:r>
          </w:p>
        </w:tc>
        <w:tc>
          <w:tcPr>
            <w:tcW w:w="1590" w:type="dxa"/>
          </w:tcPr>
          <w:p w14:paraId="28CDEE37">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无清洗系统，无携带污染</w:t>
            </w:r>
          </w:p>
        </w:tc>
        <w:tc>
          <w:tcPr>
            <w:tcW w:w="1665" w:type="dxa"/>
            <w:vAlign w:val="center"/>
          </w:tcPr>
          <w:p w14:paraId="7F386BF3">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10" w:type="dxa"/>
            <w:vAlign w:val="center"/>
          </w:tcPr>
          <w:p w14:paraId="32923D6B">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19CDFB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18" w:hRule="atLeast"/>
        </w:trPr>
        <w:tc>
          <w:tcPr>
            <w:tcW w:w="1254" w:type="dxa"/>
            <w:vAlign w:val="center"/>
          </w:tcPr>
          <w:p w14:paraId="4A49F2CD">
            <w:pPr>
              <w:widowControl/>
              <w:spacing w:after="160" w:line="360" w:lineRule="exact"/>
              <w:jc w:val="left"/>
              <w:rPr>
                <w:rFonts w:hint="eastAsia" w:asciiTheme="minorEastAsia" w:hAnsiTheme="minorEastAsia" w:cstheme="minorEastAsia"/>
                <w:kern w:val="0"/>
                <w:sz w:val="24"/>
              </w:rPr>
            </w:pPr>
          </w:p>
        </w:tc>
        <w:tc>
          <w:tcPr>
            <w:tcW w:w="3675" w:type="dxa"/>
            <w:vAlign w:val="center"/>
          </w:tcPr>
          <w:p w14:paraId="1F486CF0">
            <w:pPr>
              <w:pStyle w:val="14"/>
              <w:keepNext w:val="0"/>
              <w:keepLines w:val="0"/>
              <w:pageBreakBefore w:val="0"/>
              <w:widowControl/>
              <w:kinsoku/>
              <w:wordWrap/>
              <w:overflowPunct/>
              <w:topLinePunct w:val="0"/>
              <w:bidi w:val="0"/>
              <w:adjustRightInd/>
              <w:snapToGrid/>
              <w:spacing w:line="360" w:lineRule="exact"/>
              <w:ind w:firstLine="0" w:firstLineChars="0"/>
              <w:textAlignment w:val="auto"/>
              <w:outlineLvl w:val="1"/>
              <w:rPr>
                <w:rFonts w:ascii="Times New Roman" w:cs="宋体"/>
                <w:sz w:val="24"/>
                <w:szCs w:val="24"/>
              </w:rPr>
            </w:pPr>
            <w:r>
              <w:rPr>
                <w:rFonts w:hint="eastAsia" w:ascii="Times New Roman" w:cs="宋体"/>
                <w:sz w:val="24"/>
                <w:szCs w:val="24"/>
              </w:rPr>
              <w:t>2.</w:t>
            </w:r>
            <w:r>
              <w:rPr>
                <w:rFonts w:hint="eastAsia" w:ascii="Times New Roman" w:cs="宋体"/>
                <w:sz w:val="24"/>
                <w:szCs w:val="24"/>
                <w:lang w:val="en-US" w:eastAsia="zh-CN"/>
              </w:rPr>
              <w:t>8</w:t>
            </w:r>
            <w:r>
              <w:rPr>
                <w:rFonts w:hint="eastAsia" w:ascii="Times New Roman" w:cs="宋体"/>
                <w:sz w:val="24"/>
                <w:szCs w:val="24"/>
              </w:rPr>
              <w:t xml:space="preserve"> 加样准确度与重复性</w:t>
            </w:r>
          </w:p>
          <w:p w14:paraId="188CFD32">
            <w:pPr>
              <w:pStyle w:val="14"/>
              <w:keepNext w:val="0"/>
              <w:keepLines w:val="0"/>
              <w:pageBreakBefore w:val="0"/>
              <w:widowControl/>
              <w:kinsoku/>
              <w:wordWrap/>
              <w:overflowPunct/>
              <w:topLinePunct w:val="0"/>
              <w:bidi w:val="0"/>
              <w:adjustRightInd/>
              <w:snapToGrid/>
              <w:spacing w:line="360" w:lineRule="exact"/>
              <w:ind w:left="0" w:leftChars="0" w:firstLine="0" w:firstLineChars="0"/>
              <w:textAlignment w:val="auto"/>
              <w:rPr>
                <w:rFonts w:ascii="Times New Roman" w:cs="宋体"/>
                <w:sz w:val="24"/>
                <w:szCs w:val="24"/>
              </w:rPr>
            </w:pPr>
            <w:r>
              <w:rPr>
                <w:rFonts w:hint="eastAsia" w:ascii="Times New Roman" w:cs="宋体"/>
                <w:sz w:val="24"/>
                <w:szCs w:val="24"/>
              </w:rPr>
              <w:t>对仪器标称的样品最小、最大加样量，以及在5</w:t>
            </w:r>
            <w:r>
              <w:rPr>
                <w:rFonts w:hint="eastAsia" w:ascii="Times New Roman" w:cs="宋体"/>
                <w:sz w:val="24"/>
                <w:szCs w:val="21"/>
              </w:rPr>
              <w:t>μL</w:t>
            </w:r>
            <w:r>
              <w:rPr>
                <w:rFonts w:hint="eastAsia" w:ascii="Times New Roman"/>
                <w:sz w:val="24"/>
                <w:szCs w:val="24"/>
              </w:rPr>
              <w:t>附近的一个加样量，进行检测，加样准确度误差不超过</w:t>
            </w:r>
            <w:r>
              <w:rPr>
                <w:rFonts w:hint="eastAsia" w:ascii="Times New Roman" w:cs="宋体"/>
                <w:sz w:val="24"/>
                <w:szCs w:val="24"/>
              </w:rPr>
              <w:t>±5%，变异系数不超过2%。</w:t>
            </w:r>
          </w:p>
          <w:p w14:paraId="1B3EBCD7">
            <w:pPr>
              <w:keepNext w:val="0"/>
              <w:keepLines w:val="0"/>
              <w:pageBreakBefore w:val="0"/>
              <w:widowControl/>
              <w:kinsoku/>
              <w:wordWrap/>
              <w:overflowPunct/>
              <w:topLinePunct w:val="0"/>
              <w:bidi w:val="0"/>
              <w:adjustRightInd/>
              <w:snapToGrid/>
              <w:spacing w:line="360" w:lineRule="exact"/>
              <w:jc w:val="left"/>
              <w:textAlignment w:val="auto"/>
              <w:rPr>
                <w:rFonts w:hint="eastAsia" w:asciiTheme="minorEastAsia" w:hAnsiTheme="minorEastAsia" w:cstheme="minorEastAsia"/>
                <w:kern w:val="0"/>
                <w:sz w:val="24"/>
              </w:rPr>
            </w:pPr>
            <w:r>
              <w:rPr>
                <w:rFonts w:hint="eastAsia" w:ascii="Times New Roman" w:cs="宋体"/>
                <w:sz w:val="24"/>
                <w:szCs w:val="24"/>
              </w:rPr>
              <w:t>对仪器标称的试剂最小、最大加样量，进行检测，加样准确度误差不超过±5%，变异系数不超过2%。</w:t>
            </w:r>
          </w:p>
        </w:tc>
        <w:tc>
          <w:tcPr>
            <w:tcW w:w="3915" w:type="dxa"/>
            <w:vAlign w:val="top"/>
          </w:tcPr>
          <w:p w14:paraId="35D0D485">
            <w:pPr>
              <w:pStyle w:val="14"/>
              <w:keepNext w:val="0"/>
              <w:keepLines w:val="0"/>
              <w:pageBreakBefore w:val="0"/>
              <w:widowControl/>
              <w:kinsoku/>
              <w:wordWrap/>
              <w:overflowPunct/>
              <w:topLinePunct w:val="0"/>
              <w:bidi w:val="0"/>
              <w:adjustRightInd/>
              <w:snapToGrid/>
              <w:spacing w:line="360" w:lineRule="exact"/>
              <w:ind w:firstLine="0" w:firstLineChars="0"/>
              <w:jc w:val="both"/>
              <w:textAlignment w:val="auto"/>
              <w:outlineLvl w:val="1"/>
              <w:rPr>
                <w:rFonts w:hint="eastAsia" w:ascii="Times New Roman" w:hAnsi="Times New Roman" w:eastAsia="宋体" w:cs="宋体"/>
                <w:sz w:val="24"/>
                <w:szCs w:val="24"/>
              </w:rPr>
            </w:pPr>
            <w:r>
              <w:rPr>
                <w:rFonts w:hint="eastAsia" w:ascii="Times New Roman" w:hAnsi="Times New Roman" w:eastAsia="宋体" w:cs="宋体"/>
                <w:sz w:val="24"/>
                <w:szCs w:val="24"/>
              </w:rPr>
              <w:t>2.7 加样准确度与重复性</w:t>
            </w:r>
          </w:p>
          <w:p w14:paraId="2775B42E">
            <w:pPr>
              <w:pStyle w:val="14"/>
              <w:keepNext w:val="0"/>
              <w:keepLines w:val="0"/>
              <w:pageBreakBefore w:val="0"/>
              <w:widowControl/>
              <w:kinsoku/>
              <w:wordWrap/>
              <w:overflowPunct/>
              <w:topLinePunct w:val="0"/>
              <w:bidi w:val="0"/>
              <w:adjustRightInd/>
              <w:snapToGrid/>
              <w:spacing w:line="360" w:lineRule="exact"/>
              <w:ind w:firstLine="0" w:firstLineChars="0"/>
              <w:jc w:val="both"/>
              <w:textAlignment w:val="auto"/>
              <w:outlineLvl w:val="1"/>
              <w:rPr>
                <w:rFonts w:hint="eastAsia" w:ascii="Times New Roman" w:hAnsi="Times New Roman" w:eastAsia="宋体" w:cs="宋体"/>
                <w:sz w:val="24"/>
                <w:szCs w:val="24"/>
              </w:rPr>
            </w:pPr>
            <w:r>
              <w:rPr>
                <w:rFonts w:hint="eastAsia" w:ascii="Times New Roman" w:hAnsi="Times New Roman" w:eastAsia="宋体" w:cs="宋体"/>
                <w:sz w:val="24"/>
                <w:szCs w:val="24"/>
              </w:rPr>
              <w:t>对仪器标称的样品最小、最大加样量，以及在5μL附近的一个加样量，进行检测，加样准确度误差不超过±5%，变异系数不超过2%。</w:t>
            </w:r>
          </w:p>
          <w:p w14:paraId="49535756">
            <w:pPr>
              <w:pStyle w:val="14"/>
              <w:keepNext w:val="0"/>
              <w:keepLines w:val="0"/>
              <w:pageBreakBefore w:val="0"/>
              <w:widowControl/>
              <w:kinsoku/>
              <w:wordWrap/>
              <w:overflowPunct/>
              <w:topLinePunct w:val="0"/>
              <w:bidi w:val="0"/>
              <w:adjustRightInd/>
              <w:snapToGrid/>
              <w:spacing w:line="360" w:lineRule="exact"/>
              <w:ind w:firstLine="0" w:firstLineChars="0"/>
              <w:jc w:val="both"/>
              <w:textAlignment w:val="auto"/>
              <w:outlineLvl w:val="1"/>
              <w:rPr>
                <w:rFonts w:ascii="Times New Roman" w:cs="宋体"/>
                <w:sz w:val="24"/>
                <w:szCs w:val="24"/>
              </w:rPr>
            </w:pPr>
            <w:r>
              <w:rPr>
                <w:rFonts w:hint="eastAsia" w:ascii="Times New Roman" w:hAnsi="Times New Roman" w:eastAsia="宋体" w:cs="宋体"/>
                <w:sz w:val="24"/>
                <w:szCs w:val="24"/>
              </w:rPr>
              <w:t>对仪器标称的试剂最小、最大加样量，进行检测，加样准确度误差不超过±5%，变异系数不超过2%。</w:t>
            </w:r>
          </w:p>
        </w:tc>
        <w:tc>
          <w:tcPr>
            <w:tcW w:w="1590" w:type="dxa"/>
            <w:vAlign w:val="center"/>
          </w:tcPr>
          <w:p w14:paraId="1D4A69B1">
            <w:pPr>
              <w:widowControl/>
              <w:spacing w:after="160" w:line="360" w:lineRule="exact"/>
              <w:jc w:val="center"/>
              <w:rPr>
                <w:rFonts w:hint="eastAsia" w:asciiTheme="minorEastAsia" w:hAnsiTheme="minorEastAsia" w:cstheme="minorEastAsia"/>
                <w:kern w:val="0"/>
                <w:sz w:val="24"/>
              </w:rPr>
            </w:pPr>
            <w:r>
              <w:rPr>
                <w:rFonts w:asciiTheme="minorEastAsia" w:hAnsiTheme="minorEastAsia" w:cstheme="minorEastAsia"/>
                <w:kern w:val="0"/>
                <w:sz w:val="24"/>
              </w:rPr>
              <w:t>等同</w:t>
            </w:r>
          </w:p>
        </w:tc>
        <w:tc>
          <w:tcPr>
            <w:tcW w:w="1665" w:type="dxa"/>
          </w:tcPr>
          <w:p w14:paraId="4AC570E9">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10" w:type="dxa"/>
            <w:vAlign w:val="center"/>
          </w:tcPr>
          <w:p w14:paraId="13896AAC">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74CA60C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254" w:type="dxa"/>
            <w:vAlign w:val="center"/>
          </w:tcPr>
          <w:p w14:paraId="0E3C5E8F">
            <w:pPr>
              <w:widowControl/>
              <w:spacing w:after="160" w:line="360" w:lineRule="exact"/>
              <w:jc w:val="left"/>
              <w:rPr>
                <w:rFonts w:hint="eastAsia" w:asciiTheme="minorEastAsia" w:hAnsiTheme="minorEastAsia" w:cstheme="minorEastAsia"/>
                <w:kern w:val="0"/>
                <w:sz w:val="24"/>
              </w:rPr>
            </w:pPr>
          </w:p>
        </w:tc>
        <w:tc>
          <w:tcPr>
            <w:tcW w:w="3675" w:type="dxa"/>
            <w:vAlign w:val="center"/>
          </w:tcPr>
          <w:p w14:paraId="1FBA89DB">
            <w:pPr>
              <w:pStyle w:val="14"/>
              <w:keepNext w:val="0"/>
              <w:keepLines w:val="0"/>
              <w:pageBreakBefore w:val="0"/>
              <w:widowControl/>
              <w:kinsoku/>
              <w:wordWrap/>
              <w:overflowPunct/>
              <w:topLinePunct w:val="0"/>
              <w:bidi w:val="0"/>
              <w:adjustRightInd/>
              <w:snapToGrid/>
              <w:spacing w:line="360" w:lineRule="atLeast"/>
              <w:ind w:firstLine="0" w:firstLineChars="0"/>
              <w:textAlignment w:val="auto"/>
              <w:outlineLvl w:val="1"/>
              <w:rPr>
                <w:rFonts w:ascii="Times New Roman" w:cs="宋体"/>
                <w:sz w:val="24"/>
                <w:szCs w:val="24"/>
              </w:rPr>
            </w:pPr>
            <w:r>
              <w:rPr>
                <w:rFonts w:hint="eastAsia" w:ascii="Times New Roman" w:cs="宋体"/>
                <w:sz w:val="24"/>
                <w:szCs w:val="24"/>
              </w:rPr>
              <w:t>2.</w:t>
            </w:r>
            <w:r>
              <w:rPr>
                <w:rFonts w:hint="eastAsia" w:ascii="Times New Roman" w:cs="宋体"/>
                <w:sz w:val="24"/>
                <w:szCs w:val="24"/>
                <w:lang w:val="en-US" w:eastAsia="zh-CN"/>
              </w:rPr>
              <w:t>9</w:t>
            </w:r>
            <w:r>
              <w:rPr>
                <w:rFonts w:hint="eastAsia" w:ascii="Times New Roman" w:cs="宋体"/>
                <w:sz w:val="24"/>
                <w:szCs w:val="24"/>
              </w:rPr>
              <w:t xml:space="preserve"> 临床项目的批内精密度</w:t>
            </w:r>
          </w:p>
          <w:p w14:paraId="69E8F5FF">
            <w:pPr>
              <w:keepNext w:val="0"/>
              <w:keepLines w:val="0"/>
              <w:pageBreakBefore w:val="0"/>
              <w:widowControl/>
              <w:kinsoku/>
              <w:wordWrap/>
              <w:overflowPunct/>
              <w:topLinePunct w:val="0"/>
              <w:bidi w:val="0"/>
              <w:adjustRightInd/>
              <w:snapToGrid/>
              <w:spacing w:line="360" w:lineRule="atLeast"/>
              <w:jc w:val="left"/>
              <w:textAlignment w:val="auto"/>
              <w:rPr>
                <w:rFonts w:ascii="Times New Roman" w:hAnsi="Times New Roman" w:eastAsia="宋体" w:cs="宋体"/>
                <w:color w:val="000000" w:themeColor="text1"/>
                <w:sz w:val="24"/>
                <w14:textFill>
                  <w14:solidFill>
                    <w14:schemeClr w14:val="tx1"/>
                  </w14:solidFill>
                </w14:textFill>
              </w:rPr>
            </w:pPr>
            <w:r>
              <w:rPr>
                <w:rFonts w:hint="eastAsia" w:asciiTheme="minorEastAsia" w:hAnsiTheme="minorEastAsia" w:cstheme="minorEastAsia"/>
                <w:kern w:val="0"/>
                <w:sz w:val="24"/>
              </w:rPr>
              <w:t>ALT，</w:t>
            </w:r>
            <w:r>
              <w:rPr>
                <w:rFonts w:hint="eastAsia" w:ascii="Times New Roman" w:hAnsi="Times New Roman" w:eastAsia="宋体" w:cs="宋体"/>
                <w:color w:val="000000" w:themeColor="text1"/>
                <w:sz w:val="24"/>
                <w14:textFill>
                  <w14:solidFill>
                    <w14:schemeClr w14:val="tx1"/>
                  </w14:solidFill>
                </w14:textFill>
              </w:rPr>
              <w:t>30U/L～50U/L，</w:t>
            </w:r>
            <w:r>
              <w:rPr>
                <w:rFonts w:hint="eastAsia" w:asciiTheme="minorEastAsia" w:hAnsiTheme="minorEastAsia" w:cstheme="minorEastAsia"/>
                <w:kern w:val="0"/>
                <w:sz w:val="24"/>
              </w:rPr>
              <w:t>变异系数</w:t>
            </w:r>
            <w:r>
              <w:rPr>
                <w:rFonts w:hint="eastAsia" w:ascii="Times New Roman" w:hAnsi="Times New Roman" w:eastAsia="宋体" w:cs="宋体"/>
                <w:color w:val="000000" w:themeColor="text1"/>
                <w:sz w:val="24"/>
                <w14:textFill>
                  <w14:solidFill>
                    <w14:schemeClr w14:val="tx1"/>
                  </w14:solidFill>
                </w14:textFill>
              </w:rPr>
              <w:t>≤5%；UREA，7.0mmol/L～11.0mmol/L，</w:t>
            </w:r>
            <w:r>
              <w:rPr>
                <w:rFonts w:hint="eastAsia" w:asciiTheme="minorEastAsia" w:hAnsiTheme="minorEastAsia" w:cstheme="minorEastAsia"/>
                <w:kern w:val="0"/>
                <w:sz w:val="24"/>
              </w:rPr>
              <w:t>变异系数</w:t>
            </w:r>
            <w:r>
              <w:rPr>
                <w:rFonts w:hint="eastAsia" w:ascii="Times New Roman" w:hAnsi="Times New Roman" w:eastAsia="宋体" w:cs="宋体"/>
                <w:color w:val="000000" w:themeColor="text1"/>
                <w:sz w:val="24"/>
                <w14:textFill>
                  <w14:solidFill>
                    <w14:schemeClr w14:val="tx1"/>
                  </w14:solidFill>
                </w14:textFill>
              </w:rPr>
              <w:t>≤2.5%；</w:t>
            </w:r>
          </w:p>
          <w:p w14:paraId="20AD765E">
            <w:pPr>
              <w:keepNext w:val="0"/>
              <w:keepLines w:val="0"/>
              <w:pageBreakBefore w:val="0"/>
              <w:widowControl/>
              <w:kinsoku/>
              <w:wordWrap/>
              <w:overflowPunct/>
              <w:topLinePunct w:val="0"/>
              <w:bidi w:val="0"/>
              <w:adjustRightInd/>
              <w:snapToGrid/>
              <w:spacing w:line="360" w:lineRule="atLeast"/>
              <w:jc w:val="left"/>
              <w:textAlignment w:val="auto"/>
              <w:rPr>
                <w:rFonts w:hint="eastAsia" w:asciiTheme="minorEastAsia" w:hAnsiTheme="minorEastAsia" w:cstheme="minorEastAsia"/>
                <w:kern w:val="0"/>
                <w:sz w:val="24"/>
              </w:rPr>
            </w:pPr>
            <w:r>
              <w:rPr>
                <w:rFonts w:hint="eastAsia" w:ascii="Times New Roman" w:hAnsi="Times New Roman" w:eastAsia="宋体" w:cs="宋体"/>
                <w:color w:val="000000" w:themeColor="text1"/>
                <w:sz w:val="24"/>
                <w14:textFill>
                  <w14:solidFill>
                    <w14:schemeClr w14:val="tx1"/>
                  </w14:solidFill>
                </w14:textFill>
              </w:rPr>
              <w:t>TP，50.0g/L~70.0g/L，变异系数≤2.5%。</w:t>
            </w:r>
          </w:p>
        </w:tc>
        <w:tc>
          <w:tcPr>
            <w:tcW w:w="3915" w:type="dxa"/>
            <w:vAlign w:val="center"/>
          </w:tcPr>
          <w:p w14:paraId="2F9E8446">
            <w:pPr>
              <w:pStyle w:val="14"/>
              <w:keepNext w:val="0"/>
              <w:keepLines w:val="0"/>
              <w:pageBreakBefore w:val="0"/>
              <w:widowControl/>
              <w:kinsoku/>
              <w:wordWrap/>
              <w:overflowPunct/>
              <w:topLinePunct w:val="0"/>
              <w:bidi w:val="0"/>
              <w:adjustRightInd/>
              <w:snapToGrid/>
              <w:spacing w:line="360" w:lineRule="exact"/>
              <w:ind w:firstLine="0" w:firstLineChars="0"/>
              <w:textAlignment w:val="auto"/>
              <w:outlineLvl w:val="1"/>
              <w:rPr>
                <w:rFonts w:ascii="Times New Roman" w:cs="宋体"/>
                <w:sz w:val="24"/>
                <w:szCs w:val="24"/>
              </w:rPr>
            </w:pPr>
            <w:r>
              <w:rPr>
                <w:rFonts w:hint="eastAsia" w:ascii="Times New Roman" w:cs="宋体"/>
                <w:sz w:val="24"/>
                <w:szCs w:val="24"/>
              </w:rPr>
              <w:t>2.8 临床项目的批内精密度</w:t>
            </w:r>
          </w:p>
          <w:p w14:paraId="48E72E08">
            <w:pPr>
              <w:keepNext w:val="0"/>
              <w:keepLines w:val="0"/>
              <w:pageBreakBefore w:val="0"/>
              <w:widowControl/>
              <w:kinsoku/>
              <w:wordWrap/>
              <w:overflowPunct/>
              <w:topLinePunct w:val="0"/>
              <w:bidi w:val="0"/>
              <w:adjustRightInd/>
              <w:snapToGrid/>
              <w:spacing w:line="360" w:lineRule="exact"/>
              <w:jc w:val="left"/>
              <w:textAlignment w:val="auto"/>
              <w:rPr>
                <w:rFonts w:ascii="Times New Roman" w:hAnsi="Times New Roman" w:eastAsia="宋体" w:cs="宋体"/>
                <w:color w:val="000000" w:themeColor="text1"/>
                <w:sz w:val="24"/>
                <w14:textFill>
                  <w14:solidFill>
                    <w14:schemeClr w14:val="tx1"/>
                  </w14:solidFill>
                </w14:textFill>
              </w:rPr>
            </w:pPr>
            <w:r>
              <w:rPr>
                <w:rFonts w:hint="eastAsia" w:asciiTheme="minorEastAsia" w:hAnsiTheme="minorEastAsia" w:cstheme="minorEastAsia"/>
                <w:kern w:val="0"/>
                <w:sz w:val="24"/>
              </w:rPr>
              <w:t>ALT，</w:t>
            </w:r>
            <w:r>
              <w:rPr>
                <w:rFonts w:hint="eastAsia" w:ascii="Times New Roman" w:hAnsi="Times New Roman" w:eastAsia="宋体" w:cs="宋体"/>
                <w:color w:val="000000" w:themeColor="text1"/>
                <w:sz w:val="24"/>
                <w14:textFill>
                  <w14:solidFill>
                    <w14:schemeClr w14:val="tx1"/>
                  </w14:solidFill>
                </w14:textFill>
              </w:rPr>
              <w:t>30U/L～50U/L，</w:t>
            </w:r>
            <w:r>
              <w:rPr>
                <w:rFonts w:hint="eastAsia" w:asciiTheme="minorEastAsia" w:hAnsiTheme="minorEastAsia" w:cstheme="minorEastAsia"/>
                <w:kern w:val="0"/>
                <w:sz w:val="24"/>
              </w:rPr>
              <w:t>变异系数</w:t>
            </w:r>
            <w:r>
              <w:rPr>
                <w:rFonts w:hint="eastAsia" w:ascii="Times New Roman" w:hAnsi="Times New Roman" w:eastAsia="宋体" w:cs="宋体"/>
                <w:color w:val="000000" w:themeColor="text1"/>
                <w:sz w:val="24"/>
                <w14:textFill>
                  <w14:solidFill>
                    <w14:schemeClr w14:val="tx1"/>
                  </w14:solidFill>
                </w14:textFill>
              </w:rPr>
              <w:t>≤5%；UREA，7.0mmol/L～11.0mmol/L，</w:t>
            </w:r>
            <w:r>
              <w:rPr>
                <w:rFonts w:hint="eastAsia" w:asciiTheme="minorEastAsia" w:hAnsiTheme="minorEastAsia" w:cstheme="minorEastAsia"/>
                <w:kern w:val="0"/>
                <w:sz w:val="24"/>
              </w:rPr>
              <w:t>变异系数</w:t>
            </w:r>
            <w:r>
              <w:rPr>
                <w:rFonts w:hint="eastAsia" w:ascii="Times New Roman" w:hAnsi="Times New Roman" w:eastAsia="宋体" w:cs="宋体"/>
                <w:color w:val="000000" w:themeColor="text1"/>
                <w:sz w:val="24"/>
                <w14:textFill>
                  <w14:solidFill>
                    <w14:schemeClr w14:val="tx1"/>
                  </w14:solidFill>
                </w14:textFill>
              </w:rPr>
              <w:t>≤2.5%；</w:t>
            </w:r>
          </w:p>
          <w:p w14:paraId="725C1D6A">
            <w:pPr>
              <w:keepNext w:val="0"/>
              <w:keepLines w:val="0"/>
              <w:pageBreakBefore w:val="0"/>
              <w:widowControl/>
              <w:kinsoku/>
              <w:wordWrap/>
              <w:overflowPunct/>
              <w:topLinePunct w:val="0"/>
              <w:bidi w:val="0"/>
              <w:adjustRightInd/>
              <w:snapToGrid/>
              <w:spacing w:line="360" w:lineRule="exact"/>
              <w:jc w:val="left"/>
              <w:textAlignment w:val="auto"/>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TP，50.0g/L~70.0g/L，变异系数≤2.5%。</w:t>
            </w:r>
          </w:p>
        </w:tc>
        <w:tc>
          <w:tcPr>
            <w:tcW w:w="1590" w:type="dxa"/>
            <w:vAlign w:val="center"/>
          </w:tcPr>
          <w:p w14:paraId="2AA950FD">
            <w:pPr>
              <w:widowControl/>
              <w:spacing w:after="160" w:line="360" w:lineRule="exact"/>
              <w:jc w:val="center"/>
              <w:rPr>
                <w:rFonts w:hint="eastAsia" w:asciiTheme="minorEastAsia" w:hAnsiTheme="minorEastAsia" w:cstheme="minorEastAsia"/>
                <w:kern w:val="0"/>
                <w:sz w:val="24"/>
              </w:rPr>
            </w:pPr>
            <w:r>
              <w:rPr>
                <w:rFonts w:asciiTheme="minorEastAsia" w:hAnsiTheme="minorEastAsia" w:cstheme="minorEastAsia"/>
                <w:kern w:val="0"/>
                <w:sz w:val="24"/>
              </w:rPr>
              <w:t>等同</w:t>
            </w:r>
          </w:p>
        </w:tc>
        <w:tc>
          <w:tcPr>
            <w:tcW w:w="1665" w:type="dxa"/>
          </w:tcPr>
          <w:p w14:paraId="3C94CEBB">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本申报产品技术要求、XR210产品技术要求</w:t>
            </w:r>
          </w:p>
        </w:tc>
        <w:tc>
          <w:tcPr>
            <w:tcW w:w="1210" w:type="dxa"/>
            <w:vAlign w:val="center"/>
          </w:tcPr>
          <w:p w14:paraId="26D5D7F4">
            <w:pPr>
              <w:widowControl/>
              <w:spacing w:after="160" w:line="360" w:lineRule="exact"/>
              <w:jc w:val="left"/>
              <w:rPr>
                <w:rFonts w:hint="eastAsia" w:eastAsia="诺特常规" w:asciiTheme="minorEastAsia" w:hAnsiTheme="minorEastAsia" w:cstheme="minorEastAsia"/>
                <w:kern w:val="0"/>
                <w:sz w:val="24"/>
              </w:rPr>
            </w:pPr>
            <w:r>
              <w:rPr>
                <w:rFonts w:hint="eastAsia" w:asciiTheme="minorEastAsia" w:hAnsiTheme="minorEastAsia" w:cstheme="minorEastAsia"/>
                <w:kern w:val="0"/>
                <w:sz w:val="24"/>
              </w:rPr>
              <w:t>/</w:t>
            </w:r>
          </w:p>
        </w:tc>
      </w:tr>
      <w:tr w14:paraId="703E08F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55" w:hRule="atLeast"/>
        </w:trPr>
        <w:tc>
          <w:tcPr>
            <w:tcW w:w="1254" w:type="dxa"/>
            <w:vAlign w:val="center"/>
          </w:tcPr>
          <w:p w14:paraId="759340A7">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灭菌/消毒方式</w:t>
            </w:r>
          </w:p>
        </w:tc>
        <w:tc>
          <w:tcPr>
            <w:tcW w:w="3675" w:type="dxa"/>
            <w:vAlign w:val="center"/>
          </w:tcPr>
          <w:p w14:paraId="7C4691ED">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重点部位为：试剂盘、加样针、外壳，这些部位可使用酒精</w:t>
            </w:r>
            <w:r>
              <w:rPr>
                <w:rFonts w:hint="eastAsia" w:asciiTheme="minorEastAsia" w:hAnsiTheme="minorEastAsia" w:cstheme="minorEastAsia"/>
                <w:kern w:val="0"/>
                <w:sz w:val="24"/>
                <w:lang w:eastAsia="zh-CN"/>
              </w:rPr>
              <w:t>擦拭</w:t>
            </w:r>
            <w:r>
              <w:rPr>
                <w:rFonts w:hint="eastAsia" w:asciiTheme="minorEastAsia" w:hAnsiTheme="minorEastAsia" w:cstheme="minorEastAsia"/>
                <w:kern w:val="0"/>
                <w:sz w:val="24"/>
              </w:rPr>
              <w:t>处理；用干净软布蘸取少许清洁剂清洁触摸屏。</w:t>
            </w:r>
          </w:p>
        </w:tc>
        <w:tc>
          <w:tcPr>
            <w:tcW w:w="3915" w:type="dxa"/>
            <w:vAlign w:val="center"/>
          </w:tcPr>
          <w:p w14:paraId="07D9CA59">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重点清洁消毒部位为：试剂盘、外壳，这些部位可使用酒精</w:t>
            </w:r>
            <w:r>
              <w:rPr>
                <w:rFonts w:hint="eastAsia" w:asciiTheme="minorEastAsia" w:hAnsiTheme="minorEastAsia" w:cstheme="minorEastAsia"/>
                <w:kern w:val="0"/>
                <w:sz w:val="24"/>
                <w:lang w:eastAsia="zh-CN"/>
              </w:rPr>
              <w:t>擦拭</w:t>
            </w:r>
            <w:r>
              <w:rPr>
                <w:rFonts w:hint="eastAsia" w:asciiTheme="minorEastAsia" w:hAnsiTheme="minorEastAsia" w:cstheme="minorEastAsia"/>
                <w:kern w:val="0"/>
                <w:sz w:val="24"/>
              </w:rPr>
              <w:t>处理；用干净软布蘸取少许清洁剂清洁触摸屏。</w:t>
            </w:r>
          </w:p>
        </w:tc>
        <w:tc>
          <w:tcPr>
            <w:tcW w:w="1590" w:type="dxa"/>
            <w:vAlign w:val="center"/>
          </w:tcPr>
          <w:p w14:paraId="49346FA1">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相同</w:t>
            </w:r>
          </w:p>
        </w:tc>
        <w:tc>
          <w:tcPr>
            <w:tcW w:w="1665" w:type="dxa"/>
            <w:vAlign w:val="center"/>
          </w:tcPr>
          <w:p w14:paraId="7BAB4F46">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本申报产品说明书、 XR210产品说明书</w:t>
            </w:r>
          </w:p>
        </w:tc>
        <w:tc>
          <w:tcPr>
            <w:tcW w:w="1210" w:type="dxa"/>
            <w:vAlign w:val="center"/>
          </w:tcPr>
          <w:p w14:paraId="760D1DD2">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4293F8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520" w:hRule="atLeast"/>
        </w:trPr>
        <w:tc>
          <w:tcPr>
            <w:tcW w:w="1254" w:type="dxa"/>
            <w:vAlign w:val="center"/>
          </w:tcPr>
          <w:p w14:paraId="16EB8397">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适用范围</w:t>
            </w:r>
          </w:p>
        </w:tc>
        <w:tc>
          <w:tcPr>
            <w:tcW w:w="3675" w:type="dxa"/>
            <w:vAlign w:val="center"/>
          </w:tcPr>
          <w:p w14:paraId="7CB4138E">
            <w:pPr>
              <w:widowControl/>
              <w:spacing w:after="160" w:line="360" w:lineRule="exact"/>
              <w:jc w:val="left"/>
              <w:rPr>
                <w:rFonts w:hint="eastAsia" w:asciiTheme="minorEastAsia" w:hAnsiTheme="minorEastAsia" w:eastAsiaTheme="minorEastAsia" w:cstheme="minorEastAsia"/>
                <w:kern w:val="0"/>
                <w:sz w:val="24"/>
                <w:lang w:eastAsia="zh-CN"/>
              </w:rPr>
            </w:pPr>
            <w:r>
              <w:rPr>
                <w:rFonts w:hint="eastAsia" w:asciiTheme="minorEastAsia" w:hAnsiTheme="minorEastAsia" w:cstheme="minorEastAsia"/>
                <w:kern w:val="0"/>
                <w:sz w:val="24"/>
                <w:lang w:eastAsia="zh-CN"/>
              </w:rPr>
              <w:t>供医疗结构对人体体液样本中成分的定量分析。</w:t>
            </w:r>
          </w:p>
        </w:tc>
        <w:tc>
          <w:tcPr>
            <w:tcW w:w="3915" w:type="dxa"/>
            <w:vAlign w:val="center"/>
          </w:tcPr>
          <w:p w14:paraId="14AFB746">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该产品采用分光光度法，与本***机构生产的配套的检测试剂共同使用，在临床上用于对来源于人体的精浆样本中的被分析物进行定量检测，包括精浆锌、精浆果糖、精浆柃檬酸、精浆中性α-葡萄糖苷酶等项目。</w:t>
            </w:r>
          </w:p>
        </w:tc>
        <w:tc>
          <w:tcPr>
            <w:tcW w:w="1590" w:type="dxa"/>
            <w:vAlign w:val="center"/>
          </w:tcPr>
          <w:p w14:paraId="3416BE1D">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相同</w:t>
            </w:r>
          </w:p>
        </w:tc>
        <w:tc>
          <w:tcPr>
            <w:tcW w:w="1665" w:type="dxa"/>
            <w:vAlign w:val="center"/>
          </w:tcPr>
          <w:p w14:paraId="67883586">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本申报产品说明书、 XR210产品说明书</w:t>
            </w:r>
          </w:p>
        </w:tc>
        <w:tc>
          <w:tcPr>
            <w:tcW w:w="1210" w:type="dxa"/>
            <w:vAlign w:val="center"/>
          </w:tcPr>
          <w:p w14:paraId="6F7A5175">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r w14:paraId="201835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54" w:type="dxa"/>
            <w:vAlign w:val="center"/>
          </w:tcPr>
          <w:p w14:paraId="41AD6DD8">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使用方法</w:t>
            </w:r>
          </w:p>
        </w:tc>
        <w:tc>
          <w:tcPr>
            <w:tcW w:w="3675" w:type="dxa"/>
            <w:vAlign w:val="center"/>
          </w:tcPr>
          <w:p w14:paraId="21BC6ACB">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参见使用说明书</w:t>
            </w:r>
          </w:p>
        </w:tc>
        <w:tc>
          <w:tcPr>
            <w:tcW w:w="3915" w:type="dxa"/>
            <w:vAlign w:val="center"/>
          </w:tcPr>
          <w:p w14:paraId="3F6B106D">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参见使用说明书</w:t>
            </w:r>
          </w:p>
        </w:tc>
        <w:tc>
          <w:tcPr>
            <w:tcW w:w="1590" w:type="dxa"/>
            <w:vAlign w:val="center"/>
          </w:tcPr>
          <w:p w14:paraId="0961F267">
            <w:pPr>
              <w:widowControl/>
              <w:spacing w:after="160" w:line="360" w:lineRule="exact"/>
              <w:jc w:val="center"/>
              <w:rPr>
                <w:rFonts w:hint="eastAsia" w:asciiTheme="minorEastAsia" w:hAnsiTheme="minorEastAsia" w:cstheme="minorEastAsia"/>
                <w:kern w:val="0"/>
                <w:sz w:val="24"/>
              </w:rPr>
            </w:pPr>
            <w:r>
              <w:rPr>
                <w:rFonts w:hint="eastAsia" w:asciiTheme="minorEastAsia" w:hAnsiTheme="minorEastAsia" w:cstheme="minorEastAsia"/>
                <w:kern w:val="0"/>
                <w:sz w:val="24"/>
              </w:rPr>
              <w:t>等同</w:t>
            </w:r>
          </w:p>
        </w:tc>
        <w:tc>
          <w:tcPr>
            <w:tcW w:w="1665" w:type="dxa"/>
            <w:vAlign w:val="center"/>
          </w:tcPr>
          <w:p w14:paraId="0D9D13DE">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本申报产品说明书、 XR210产品说明书</w:t>
            </w:r>
          </w:p>
        </w:tc>
        <w:tc>
          <w:tcPr>
            <w:tcW w:w="1210" w:type="dxa"/>
            <w:vAlign w:val="center"/>
          </w:tcPr>
          <w:p w14:paraId="5E0FD2D6">
            <w:pPr>
              <w:widowControl/>
              <w:spacing w:after="160" w:line="360" w:lineRule="exact"/>
              <w:jc w:val="left"/>
              <w:rPr>
                <w:rFonts w:hint="eastAsia" w:asciiTheme="minorEastAsia" w:hAnsiTheme="minorEastAsia" w:cstheme="minorEastAsia"/>
                <w:kern w:val="0"/>
                <w:sz w:val="24"/>
              </w:rPr>
            </w:pPr>
            <w:r>
              <w:rPr>
                <w:rFonts w:hint="eastAsia" w:asciiTheme="minorEastAsia" w:hAnsiTheme="minorEastAsia" w:cstheme="minorEastAsia"/>
                <w:kern w:val="0"/>
                <w:sz w:val="24"/>
              </w:rPr>
              <w:t>/</w:t>
            </w:r>
          </w:p>
        </w:tc>
      </w:tr>
    </w:tbl>
    <w:p w14:paraId="023635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0" w:firstLineChars="200"/>
        <w:jc w:val="left"/>
        <w:rPr>
          <w:rFonts w:hint="eastAsia" w:asciiTheme="minorEastAsia" w:hAnsiTheme="minorEastAsia" w:cstheme="minorEastAsia"/>
          <w:kern w:val="0"/>
          <w:sz w:val="28"/>
          <w:szCs w:val="28"/>
          <w:lang w:eastAsia="zh-CN"/>
        </w:rPr>
      </w:pPr>
      <w:r>
        <w:rPr>
          <w:rFonts w:hint="eastAsia" w:asciiTheme="minorEastAsia" w:hAnsiTheme="minorEastAsia" w:cstheme="minorEastAsia"/>
          <w:kern w:val="0"/>
          <w:sz w:val="28"/>
          <w:szCs w:val="28"/>
        </w:rPr>
        <w:t>结论：通过《申报产品》与《目录中已获准境内注册医疗器械对比表》中对比表明，拟注册的全自动精浆生化分析仪在结构性能、材料组成、性能要求、灭菌消毒方式、适用范围、使用方法上与</w:t>
      </w:r>
      <w:r>
        <w:rPr>
          <w:rFonts w:hint="eastAsia" w:ascii="宋体" w:hAnsi="宋体" w:eastAsia="宋体" w:cs="宋体"/>
          <w:kern w:val="0"/>
          <w:sz w:val="28"/>
          <w:szCs w:val="28"/>
        </w:rPr>
        <w:t>中山***机构的全自动生化分析仪产品基本相同。</w:t>
      </w:r>
      <w:r>
        <w:rPr>
          <w:rFonts w:hint="eastAsia" w:asciiTheme="minorEastAsia" w:hAnsiTheme="minorEastAsia" w:cstheme="minorEastAsia"/>
          <w:kern w:val="0"/>
          <w:sz w:val="28"/>
          <w:szCs w:val="28"/>
        </w:rPr>
        <w:t>表明拟申报注册产品与已获准境内注册的产品基本等同</w:t>
      </w:r>
      <w:r>
        <w:rPr>
          <w:rFonts w:hint="eastAsia" w:asciiTheme="minorEastAsia" w:hAnsiTheme="minorEastAsia" w:cstheme="minorEastAsia"/>
          <w:kern w:val="0"/>
          <w:sz w:val="28"/>
          <w:szCs w:val="28"/>
          <w:lang w:eastAsia="zh-CN"/>
        </w:rPr>
        <w:t>，全自动精浆生化分析仪能够满足预期的用途，并可保证其临床使用的安全性和有效性。</w:t>
      </w:r>
    </w:p>
    <w:bookmarkEnd w:id="1"/>
    <w:p w14:paraId="67A907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40" w:firstLineChars="300"/>
        <w:jc w:val="left"/>
        <w:rPr>
          <w:rFonts w:hint="eastAsia" w:asciiTheme="minorEastAsia" w:hAnsiTheme="minorEastAsia" w:cstheme="minorEastAsia"/>
          <w:kern w:val="0"/>
          <w:sz w:val="28"/>
          <w:szCs w:val="28"/>
        </w:rPr>
      </w:pPr>
    </w:p>
    <w:sectPr>
      <w:pgSz w:w="16838" w:h="11906" w:orient="landscape"/>
      <w:pgMar w:top="1701" w:right="1701" w:bottom="1417" w:left="1417" w:header="1417" w:footer="11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诺特常规">
    <w:panose1 w:val="020B0500000000000000"/>
    <w:charset w:val="86"/>
    <w:family w:val="swiss"/>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7344279"/>
      <w:docPartObj>
        <w:docPartGallery w:val="autotext"/>
      </w:docPartObj>
    </w:sdtPr>
    <w:sdtContent>
      <w:sdt>
        <w:sdtPr>
          <w:id w:val="-1705238520"/>
          <w:docPartObj>
            <w:docPartGallery w:val="autotext"/>
          </w:docPartObj>
        </w:sdtPr>
        <w:sdtContent>
          <w:p w14:paraId="7726D661">
            <w:pPr>
              <w:pStyle w:val="6"/>
              <w:jc w:val="center"/>
            </w:pPr>
            <w:r>
              <w:rPr>
                <w:lang w:val="zh-CN"/>
              </w:rPr>
              <w:t xml:space="preserve"> </w:t>
            </w:r>
            <w:r>
              <w:rPr>
                <w:rFonts w:ascii="Times New Roman" w:hAnsi="Times New Roman" w:cs="Times New Roman"/>
                <w:b/>
                <w:bCs/>
                <w:sz w:val="24"/>
              </w:rPr>
              <w:fldChar w:fldCharType="begin"/>
            </w:r>
            <w:r>
              <w:rPr>
                <w:rFonts w:ascii="Times New Roman" w:hAnsi="Times New Roman" w:cs="Times New Roman"/>
                <w:b/>
                <w:bCs/>
                <w:sz w:val="24"/>
              </w:rPr>
              <w:instrText xml:space="preserve">PAGE</w:instrText>
            </w:r>
            <w:r>
              <w:rPr>
                <w:rFonts w:ascii="Times New Roman" w:hAnsi="Times New Roman" w:cs="Times New Roman"/>
                <w:b/>
                <w:bCs/>
                <w:sz w:val="24"/>
              </w:rPr>
              <w:fldChar w:fldCharType="separate"/>
            </w:r>
            <w:r>
              <w:rPr>
                <w:rFonts w:ascii="Times New Roman" w:hAnsi="Times New Roman" w:cs="Times New Roman"/>
                <w:b/>
                <w:bCs/>
                <w:sz w:val="24"/>
                <w:lang w:val="zh-CN"/>
              </w:rPr>
              <w:t>2</w:t>
            </w:r>
            <w:r>
              <w:rPr>
                <w:rFonts w:ascii="Times New Roman" w:hAnsi="Times New Roman" w:cs="Times New Roman"/>
                <w:b/>
                <w:bCs/>
                <w:sz w:val="24"/>
              </w:rPr>
              <w:fldChar w:fldCharType="end"/>
            </w:r>
            <w:r>
              <w:rPr>
                <w:rFonts w:ascii="Times New Roman" w:hAnsi="Times New Roman" w:cs="Times New Roman"/>
                <w:sz w:val="24"/>
                <w:lang w:val="zh-CN"/>
              </w:rPr>
              <w:t xml:space="preserve"> / </w:t>
            </w:r>
            <w:r>
              <w:rPr>
                <w:rFonts w:ascii="Times New Roman" w:hAnsi="Times New Roman" w:cs="Times New Roman"/>
                <w:b/>
                <w:bCs/>
                <w:sz w:val="24"/>
              </w:rPr>
              <w:fldChar w:fldCharType="begin"/>
            </w:r>
            <w:r>
              <w:rPr>
                <w:rFonts w:ascii="Times New Roman" w:hAnsi="Times New Roman" w:cs="Times New Roman"/>
                <w:b/>
                <w:bCs/>
                <w:sz w:val="24"/>
              </w:rPr>
              <w:instrText xml:space="preserve">NUMPAGES</w:instrText>
            </w:r>
            <w:r>
              <w:rPr>
                <w:rFonts w:ascii="Times New Roman" w:hAnsi="Times New Roman" w:cs="Times New Roman"/>
                <w:b/>
                <w:bCs/>
                <w:sz w:val="24"/>
              </w:rPr>
              <w:fldChar w:fldCharType="separate"/>
            </w:r>
            <w:r>
              <w:rPr>
                <w:rFonts w:ascii="Times New Roman" w:hAnsi="Times New Roman" w:cs="Times New Roman"/>
                <w:b/>
                <w:bCs/>
                <w:sz w:val="24"/>
                <w:lang w:val="zh-CN"/>
              </w:rPr>
              <w:t>2</w:t>
            </w:r>
            <w:r>
              <w:rPr>
                <w:rFonts w:ascii="Times New Roman" w:hAnsi="Times New Roman" w:cs="Times New Roman"/>
                <w:b/>
                <w:bCs/>
                <w:sz w:val="24"/>
              </w:rPr>
              <w:fldChar w:fldCharType="end"/>
            </w:r>
          </w:p>
        </w:sdtContent>
      </w:sdt>
    </w:sdtContent>
  </w:sdt>
  <w:p w14:paraId="7A5E323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A9F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DA49D">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5F10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CD71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CA948">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1"/>
      </w:rPr>
    </w:lvl>
    <w:lvl w:ilvl="2" w:tentative="0">
      <w:start w:val="1"/>
      <w:numFmt w:val="decimal"/>
      <w:pStyle w:val="13"/>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xNWQ5ZDM5NGJhOGJiNzViYzk3MTM3ZGE4YWUyNWIifQ=="/>
  </w:docVars>
  <w:rsids>
    <w:rsidRoot w:val="2980056D"/>
    <w:rsid w:val="0005279F"/>
    <w:rsid w:val="0011516C"/>
    <w:rsid w:val="00192B08"/>
    <w:rsid w:val="002547D7"/>
    <w:rsid w:val="002A72D4"/>
    <w:rsid w:val="002D3BBC"/>
    <w:rsid w:val="002F4D41"/>
    <w:rsid w:val="003634EE"/>
    <w:rsid w:val="00386497"/>
    <w:rsid w:val="00410C78"/>
    <w:rsid w:val="00447D58"/>
    <w:rsid w:val="004839C1"/>
    <w:rsid w:val="004B0BCF"/>
    <w:rsid w:val="005E6A9C"/>
    <w:rsid w:val="00607101"/>
    <w:rsid w:val="006834AD"/>
    <w:rsid w:val="006F26E8"/>
    <w:rsid w:val="00707866"/>
    <w:rsid w:val="0072733D"/>
    <w:rsid w:val="007E3E3B"/>
    <w:rsid w:val="009028FB"/>
    <w:rsid w:val="00906C9E"/>
    <w:rsid w:val="00960B11"/>
    <w:rsid w:val="0096539F"/>
    <w:rsid w:val="009706BD"/>
    <w:rsid w:val="00992238"/>
    <w:rsid w:val="009D6A63"/>
    <w:rsid w:val="009F37D5"/>
    <w:rsid w:val="00A626FE"/>
    <w:rsid w:val="00A74381"/>
    <w:rsid w:val="00A84A1E"/>
    <w:rsid w:val="00AB50A5"/>
    <w:rsid w:val="00AD27EB"/>
    <w:rsid w:val="00AF233C"/>
    <w:rsid w:val="00B41BC9"/>
    <w:rsid w:val="00B947EB"/>
    <w:rsid w:val="00BC1A9E"/>
    <w:rsid w:val="00BE7B78"/>
    <w:rsid w:val="00BE7C3B"/>
    <w:rsid w:val="00C05A82"/>
    <w:rsid w:val="00C25F6E"/>
    <w:rsid w:val="00C90162"/>
    <w:rsid w:val="00CC1397"/>
    <w:rsid w:val="00D42F85"/>
    <w:rsid w:val="00D45C1E"/>
    <w:rsid w:val="00DB063B"/>
    <w:rsid w:val="00DB7DF5"/>
    <w:rsid w:val="00E93943"/>
    <w:rsid w:val="00EE442E"/>
    <w:rsid w:val="00EF398A"/>
    <w:rsid w:val="00F054A6"/>
    <w:rsid w:val="00F12C8F"/>
    <w:rsid w:val="00F67302"/>
    <w:rsid w:val="00FF3790"/>
    <w:rsid w:val="01E45114"/>
    <w:rsid w:val="0CAD6DF7"/>
    <w:rsid w:val="12123C76"/>
    <w:rsid w:val="12E00424"/>
    <w:rsid w:val="13C42772"/>
    <w:rsid w:val="1820134B"/>
    <w:rsid w:val="19B17A41"/>
    <w:rsid w:val="1A8730B3"/>
    <w:rsid w:val="1D8339E5"/>
    <w:rsid w:val="1EA73150"/>
    <w:rsid w:val="2261739B"/>
    <w:rsid w:val="22C32593"/>
    <w:rsid w:val="239F090A"/>
    <w:rsid w:val="27656A59"/>
    <w:rsid w:val="27CA5F2E"/>
    <w:rsid w:val="2980056D"/>
    <w:rsid w:val="2B4A5D82"/>
    <w:rsid w:val="2D4A53CB"/>
    <w:rsid w:val="2E423880"/>
    <w:rsid w:val="35324FC3"/>
    <w:rsid w:val="36FE505A"/>
    <w:rsid w:val="39676EB6"/>
    <w:rsid w:val="3C5C4CF1"/>
    <w:rsid w:val="3D6E56CE"/>
    <w:rsid w:val="3DD95ACD"/>
    <w:rsid w:val="46D279E6"/>
    <w:rsid w:val="4941709F"/>
    <w:rsid w:val="4E524648"/>
    <w:rsid w:val="4FDC241B"/>
    <w:rsid w:val="4FE44C13"/>
    <w:rsid w:val="52F061DD"/>
    <w:rsid w:val="53E53868"/>
    <w:rsid w:val="570F7705"/>
    <w:rsid w:val="58D15ADD"/>
    <w:rsid w:val="59DA32C4"/>
    <w:rsid w:val="5A6C426A"/>
    <w:rsid w:val="5E886A76"/>
    <w:rsid w:val="6102706E"/>
    <w:rsid w:val="622F6D22"/>
    <w:rsid w:val="64B22C05"/>
    <w:rsid w:val="6BCF5FE5"/>
    <w:rsid w:val="6C474C71"/>
    <w:rsid w:val="6E8A3EFB"/>
    <w:rsid w:val="7385640D"/>
    <w:rsid w:val="75160541"/>
    <w:rsid w:val="757A357C"/>
    <w:rsid w:val="75CA3C6F"/>
    <w:rsid w:val="76B80988"/>
    <w:rsid w:val="79002D6F"/>
    <w:rsid w:val="7D595E7E"/>
    <w:rsid w:val="7D6C4C9B"/>
    <w:rsid w:val="7DD22C9B"/>
    <w:rsid w:val="7DF60DF4"/>
    <w:rsid w:val="7E246996"/>
    <w:rsid w:val="7ECF2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outlineLvl w:val="0"/>
    </w:pPr>
    <w:rPr>
      <w:rFonts w:eastAsia="宋体"/>
      <w:kern w:val="44"/>
      <w:sz w:val="28"/>
      <w:szCs w:val="28"/>
    </w:rPr>
  </w:style>
  <w:style w:type="paragraph" w:styleId="3">
    <w:name w:val="heading 2"/>
    <w:next w:val="1"/>
    <w:autoRedefine/>
    <w:unhideWhenUsed/>
    <w:qFormat/>
    <w:uiPriority w:val="0"/>
    <w:pPr>
      <w:keepNext/>
      <w:keepLines/>
      <w:widowControl w:val="0"/>
      <w:ind w:left="100" w:leftChars="100"/>
      <w:jc w:val="both"/>
      <w:outlineLvl w:val="1"/>
    </w:pPr>
    <w:rPr>
      <w:rFonts w:ascii="Times New Roman" w:hAnsi="Times New Roman" w:eastAsia="宋体" w:cstheme="minorBidi"/>
      <w:kern w:val="2"/>
      <w:sz w:val="28"/>
      <w:szCs w:val="24"/>
      <w:lang w:val="en-US" w:eastAsia="zh-CN" w:bidi="ar-SA"/>
    </w:rPr>
  </w:style>
  <w:style w:type="paragraph" w:styleId="4">
    <w:name w:val="heading 3"/>
    <w:next w:val="1"/>
    <w:autoRedefine/>
    <w:unhideWhenUsed/>
    <w:qFormat/>
    <w:uiPriority w:val="0"/>
    <w:pPr>
      <w:keepNext/>
      <w:keepLines/>
      <w:widowControl w:val="0"/>
      <w:ind w:left="200" w:leftChars="200"/>
      <w:jc w:val="both"/>
      <w:outlineLvl w:val="2"/>
    </w:pPr>
    <w:rPr>
      <w:rFonts w:ascii="Times New Roman" w:hAnsi="Times New Roman" w:eastAsia="宋体" w:cstheme="minorBidi"/>
      <w:kern w:val="2"/>
      <w:sz w:val="28"/>
      <w:szCs w:val="24"/>
      <w:lang w:val="en-US" w:eastAsia="zh-CN" w:bidi="ar-SA"/>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ody Text"/>
    <w:basedOn w:val="1"/>
    <w:autoRedefine/>
    <w:qFormat/>
    <w:uiPriority w:val="0"/>
    <w:pPr>
      <w:spacing w:after="120"/>
    </w:pPr>
  </w:style>
  <w:style w:type="paragraph" w:styleId="6">
    <w:name w:val="footer"/>
    <w:basedOn w:val="1"/>
    <w:link w:val="18"/>
    <w:autoRedefine/>
    <w:qFormat/>
    <w:uiPriority w:val="99"/>
    <w:pPr>
      <w:tabs>
        <w:tab w:val="center" w:pos="4153"/>
        <w:tab w:val="right" w:pos="8306"/>
      </w:tabs>
      <w:snapToGrid w:val="0"/>
      <w:jc w:val="left"/>
    </w:pPr>
    <w:rPr>
      <w:sz w:val="18"/>
    </w:rPr>
  </w:style>
  <w:style w:type="paragraph" w:styleId="7">
    <w:name w:val="header"/>
    <w:basedOn w:val="1"/>
    <w:link w:val="17"/>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2"/>
    <w:basedOn w:val="1"/>
    <w:next w:val="1"/>
    <w:qFormat/>
    <w:uiPriority w:val="39"/>
    <w:pPr>
      <w:tabs>
        <w:tab w:val="left" w:pos="840"/>
        <w:tab w:val="right" w:leader="dot" w:pos="9169"/>
      </w:tabs>
      <w:spacing w:before="120" w:beforeLines="0" w:beforeAutospacing="0"/>
      <w:ind w:left="210"/>
      <w:jc w:val="left"/>
    </w:pPr>
    <w:rPr>
      <w:sz w:val="20"/>
    </w:rPr>
  </w:style>
  <w:style w:type="table" w:styleId="10">
    <w:name w:val="Table Grid"/>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2">
    <w:name w:val="封面标准名称"/>
    <w:autoRedefine/>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3">
    <w:name w:val="一级条标题"/>
    <w:next w:val="1"/>
    <w:autoRedefine/>
    <w:qFormat/>
    <w:uiPriority w:val="0"/>
    <w:pPr>
      <w:numPr>
        <w:ilvl w:val="2"/>
        <w:numId w:val="1"/>
      </w:numPr>
      <w:outlineLvl w:val="2"/>
    </w:pPr>
    <w:rPr>
      <w:rFonts w:ascii="Times New Roman" w:hAnsi="Times New Roman" w:eastAsia="黑体" w:cs="Times New Roman"/>
      <w:sz w:val="21"/>
      <w:lang w:val="en-US" w:eastAsia="zh-CN" w:bidi="ar-SA"/>
    </w:rPr>
  </w:style>
  <w:style w:type="paragraph" w:customStyle="1" w:styleId="14">
    <w:name w:val="段"/>
    <w:link w:val="16"/>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styleId="15">
    <w:name w:val="List Paragraph"/>
    <w:basedOn w:val="1"/>
    <w:unhideWhenUsed/>
    <w:qFormat/>
    <w:uiPriority w:val="99"/>
    <w:pPr>
      <w:ind w:firstLine="420" w:firstLineChars="200"/>
    </w:pPr>
  </w:style>
  <w:style w:type="character" w:customStyle="1" w:styleId="16">
    <w:name w:val="段 Char"/>
    <w:link w:val="14"/>
    <w:qFormat/>
    <w:uiPriority w:val="0"/>
    <w:rPr>
      <w:rFonts w:ascii="宋体" w:hAnsi="Times New Roman" w:eastAsia="宋体" w:cs="Times New Roman"/>
      <w:sz w:val="21"/>
    </w:rPr>
  </w:style>
  <w:style w:type="character" w:customStyle="1" w:styleId="17">
    <w:name w:val="页眉 字符"/>
    <w:basedOn w:val="11"/>
    <w:link w:val="7"/>
    <w:qFormat/>
    <w:uiPriority w:val="99"/>
    <w:rPr>
      <w:kern w:val="2"/>
      <w:sz w:val="18"/>
      <w:szCs w:val="24"/>
    </w:rPr>
  </w:style>
  <w:style w:type="character" w:customStyle="1" w:styleId="18">
    <w:name w:val="页脚 字符"/>
    <w:basedOn w:val="11"/>
    <w:link w:val="6"/>
    <w:qFormat/>
    <w:uiPriority w:val="99"/>
    <w:rPr>
      <w:kern w:val="2"/>
      <w:sz w:val="18"/>
      <w:szCs w:val="24"/>
    </w:rPr>
  </w:style>
  <w:style w:type="paragraph" w:customStyle="1" w:styleId="19">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47823-E3DD-42F2-8111-1F2DD0F28EDF}">
  <ds:schemaRefs/>
</ds:datastoreItem>
</file>

<file path=docProps/app.xml><?xml version="1.0" encoding="utf-8"?>
<Properties xmlns="http://schemas.openxmlformats.org/officeDocument/2006/extended-properties" xmlns:vt="http://schemas.openxmlformats.org/officeDocument/2006/docPropsVTypes">
  <Template>Normal</Template>
  <Pages>6</Pages>
  <Words>1311</Words>
  <Characters>1403</Characters>
  <Lines>214</Lines>
  <Paragraphs>111</Paragraphs>
  <TotalTime>1</TotalTime>
  <ScaleCrop>false</ScaleCrop>
  <LinksUpToDate>false</LinksUpToDate>
  <CharactersWithSpaces>1409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2023-01-28T07:36:00Z</dcterms:created>
  <dc:creator>zhengyan</dc:creator>
  <cp:lastModifiedBy>汪</cp:lastModifiedBy>
  <dcterms:modified xsi:type="dcterms:W3CDTF">2025-09-08T07:10:20Z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4D6DF40C2549426DAB4BB1A36571C47B</vt:lpwstr>
  </property>
  <property fmtid="{D5CDD505-2E9C-101B-9397-08002B2CF9AE}" pid="4" name="KSOTemplateDocerSaveRecord">
    <vt:lpwstr>eyJoZGlkIjoiNjI1ZWIzYmViYzc1MTk0ODU3NmJkNGNiM2UxYjdhNDQiLCJ1c2VySWQiOiIxMTU4NDg3OTI3In0=</vt:lpwstr>
  </property>
</Properties>
</file>