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8007F">
      <w:pPr>
        <w:rPr>
          <w:sz w:val="28"/>
          <w:szCs w:val="28"/>
          <w:highlight w:val="none"/>
          <w:lang w:val="pt-BR"/>
        </w:rPr>
      </w:pPr>
    </w:p>
    <w:p w14:paraId="6DAEFB08">
      <w:pPr>
        <w:rPr>
          <w:sz w:val="28"/>
          <w:szCs w:val="28"/>
          <w:highlight w:val="none"/>
          <w:lang w:val="pt-BR"/>
        </w:rPr>
      </w:pPr>
    </w:p>
    <w:p w14:paraId="3449A122">
      <w:pPr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  <w:t>Report 01</w:t>
      </w:r>
    </w:p>
    <w:p w14:paraId="142F7D50">
      <w:pPr>
        <w:rPr>
          <w:sz w:val="32"/>
          <w:szCs w:val="32"/>
          <w:highlight w:val="none"/>
        </w:rPr>
      </w:pPr>
    </w:p>
    <w:p w14:paraId="48361B88">
      <w:pPr>
        <w:rPr>
          <w:sz w:val="32"/>
          <w:szCs w:val="32"/>
          <w:highlight w:val="none"/>
        </w:rPr>
      </w:pPr>
    </w:p>
    <w:p w14:paraId="0F4FDDD3">
      <w:pPr>
        <w:rPr>
          <w:b/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  <w:t xml:space="preserve">Exploration of Satellite Services in Brazil by </w:t>
      </w:r>
      <w:r>
        <w:rPr>
          <w:b/>
          <w:sz w:val="32"/>
          <w:szCs w:val="32"/>
          <w:highlight w:val="none"/>
        </w:rPr>
        <w:t xml:space="preserve">Spacesail </w:t>
      </w:r>
    </w:p>
    <w:p w14:paraId="68AB3F41">
      <w:pPr>
        <w:rPr>
          <w:b/>
          <w:sz w:val="32"/>
          <w:szCs w:val="32"/>
          <w:highlight w:val="none"/>
        </w:rPr>
      </w:pPr>
    </w:p>
    <w:p w14:paraId="6C77A5FF">
      <w:pPr>
        <w:rPr>
          <w:b/>
          <w:sz w:val="32"/>
          <w:szCs w:val="32"/>
          <w:highlight w:val="none"/>
        </w:rPr>
      </w:pPr>
    </w:p>
    <w:p w14:paraId="2E0951D3">
      <w:pPr>
        <w:rPr>
          <w:b/>
          <w:sz w:val="32"/>
          <w:szCs w:val="32"/>
          <w:highlight w:val="none"/>
        </w:rPr>
      </w:pPr>
    </w:p>
    <w:p w14:paraId="04CB3746">
      <w:pPr>
        <w:rPr>
          <w:b/>
          <w:sz w:val="32"/>
          <w:szCs w:val="32"/>
          <w:highlight w:val="none"/>
        </w:rPr>
      </w:pPr>
    </w:p>
    <w:p w14:paraId="39130760">
      <w:pPr>
        <w:rPr>
          <w:sz w:val="32"/>
          <w:szCs w:val="32"/>
          <w:highlight w:val="none"/>
        </w:rPr>
      </w:pPr>
      <w:r>
        <w:rPr>
          <w:b/>
          <w:sz w:val="32"/>
          <w:szCs w:val="32"/>
          <w:highlight w:val="none"/>
        </w:rPr>
        <w:t>09/09/2025</w:t>
      </w:r>
    </w:p>
    <w:p w14:paraId="05FDA0FA">
      <w:pPr>
        <w:rPr>
          <w:highlight w:val="none"/>
        </w:rPr>
      </w:pPr>
      <w:r>
        <w:rPr>
          <w:highlight w:val="none"/>
        </w:rPr>
        <w:br w:type="page"/>
      </w:r>
    </w:p>
    <w:p w14:paraId="0CB6520E">
      <w:pPr>
        <w:pStyle w:val="4"/>
        <w:rPr>
          <w:highlight w:val="none"/>
        </w:rPr>
      </w:pPr>
    </w:p>
    <w:p w14:paraId="6E154892">
      <w:pPr>
        <w:pStyle w:val="4"/>
        <w:rPr>
          <w:highlight w:val="none"/>
        </w:rPr>
      </w:pPr>
      <w:r>
        <w:rPr>
          <w:highlight w:val="none"/>
        </w:rPr>
        <w:t>Executive Summary</w:t>
      </w:r>
    </w:p>
    <w:p w14:paraId="418DFA42">
      <w:pPr>
        <w:rPr>
          <w:highlight w:val="none"/>
        </w:rPr>
      </w:pPr>
      <w:r>
        <w:rPr>
          <w:highlight w:val="none"/>
        </w:rPr>
        <w:t xml:space="preserve">This report outlines the regulatory and operational process required for Spacesail to operate in Brazil. </w:t>
      </w:r>
      <w:r>
        <w:rPr>
          <w:bCs/>
          <w:highlight w:val="none"/>
        </w:rPr>
        <w:t xml:space="preserve">Entry </w:t>
      </w:r>
      <w:r>
        <w:rPr>
          <w:highlight w:val="none"/>
        </w:rPr>
        <w:t xml:space="preserve">into the market depends on two different authorizations from Anatel: </w:t>
      </w:r>
    </w:p>
    <w:p w14:paraId="7EC67B22">
      <w:pPr>
        <w:rPr>
          <w:highlight w:val="none"/>
        </w:rPr>
      </w:pPr>
      <w:r>
        <w:rPr>
          <w:highlight w:val="none"/>
        </w:rPr>
        <w:t xml:space="preserve">1. Foreign Satellite Exploitation Rights (Landing Rights) – enables a Brazilian company to represent the foreign operator and sell satellite capacity. </w:t>
      </w:r>
    </w:p>
    <w:p w14:paraId="1F6EBA4B">
      <w:pPr>
        <w:rPr>
          <w:highlight w:val="none"/>
        </w:rPr>
      </w:pPr>
      <w:r>
        <w:rPr>
          <w:highlight w:val="none"/>
        </w:rPr>
        <w:t xml:space="preserve">2. Authorization for the Provision of Telecommunications Services – allows a Brazilian provider to offer services to the end user. </w:t>
      </w:r>
    </w:p>
    <w:p w14:paraId="75ED9B4C">
      <w:pPr>
        <w:rPr>
          <w:highlight w:val="none"/>
        </w:rPr>
      </w:pPr>
      <w:r>
        <w:rPr>
          <w:highlight w:val="none"/>
        </w:rPr>
        <w:t xml:space="preserve">In addition to these authorizations, the process involves certification and approval of equipment, licensing of stations and compliance with applicable regulations. </w:t>
      </w:r>
    </w:p>
    <w:p w14:paraId="376B9A76">
      <w:pPr>
        <w:rPr>
          <w:highlight w:val="none"/>
        </w:rPr>
      </w:pPr>
      <w:r>
        <w:rPr>
          <w:highlight w:val="none"/>
        </w:rPr>
        <w:br w:type="page"/>
      </w:r>
    </w:p>
    <w:p w14:paraId="3611716B">
      <w:pPr>
        <w:pStyle w:val="4"/>
        <w:rPr>
          <w:highlight w:val="none"/>
        </w:rPr>
      </w:pPr>
      <w:r>
        <w:rPr>
          <w:highlight w:val="none"/>
        </w:rPr>
        <w:t>1. Introduction</w:t>
      </w:r>
    </w:p>
    <w:p w14:paraId="5638D376">
      <w:pPr>
        <w:rPr>
          <w:highlight w:val="none"/>
        </w:rPr>
      </w:pPr>
      <w:r>
        <w:rPr>
          <w:b/>
          <w:highlight w:val="none"/>
        </w:rPr>
        <w:t xml:space="preserve">The </w:t>
      </w:r>
      <w:r>
        <w:rPr>
          <w:highlight w:val="none"/>
        </w:rPr>
        <w:t xml:space="preserve">exploration of satellite services in Brazil by Spacesail requires two separate authorizations from Anatel: </w:t>
      </w:r>
    </w:p>
    <w:p w14:paraId="5D153B8B">
      <w:pPr>
        <w:rPr>
          <w:highlight w:val="none"/>
        </w:rPr>
      </w:pPr>
      <w:r>
        <w:rPr>
          <w:highlight w:val="none"/>
        </w:rPr>
        <w:t xml:space="preserve">- Satellite Exploration Rights (Landing Rights): granted to a Brazilian company representing </w:t>
      </w:r>
      <w:r>
        <w:rPr>
          <w:b/>
          <w:highlight w:val="none"/>
        </w:rPr>
        <w:t xml:space="preserve">Spacesail </w:t>
      </w:r>
      <w:r>
        <w:rPr>
          <w:highlight w:val="none"/>
        </w:rPr>
        <w:t xml:space="preserve">China. It allows the sale of satellite capacity (infrastructure) to local providers. </w:t>
      </w:r>
    </w:p>
    <w:p w14:paraId="129A2FFF">
      <w:pPr>
        <w:rPr>
          <w:highlight w:val="none"/>
        </w:rPr>
      </w:pPr>
      <w:r>
        <w:rPr>
          <w:highlight w:val="none"/>
        </w:rPr>
        <w:t xml:space="preserve">- Service Authorization: necessary to offer telecommunications services to the end user, such as: </w:t>
      </w:r>
    </w:p>
    <w:p w14:paraId="402FFDB6">
      <w:pPr>
        <w:rPr>
          <w:highlight w:val="none"/>
        </w:rPr>
      </w:pPr>
      <w:r>
        <w:rPr>
          <w:highlight w:val="none"/>
        </w:rPr>
        <w:t xml:space="preserve">  - Multimedia Communication Service </w:t>
      </w:r>
      <w:r>
        <w:rPr>
          <w:b/>
          <w:highlight w:val="none"/>
        </w:rPr>
        <w:t xml:space="preserve">(SCM), </w:t>
      </w:r>
    </w:p>
    <w:p w14:paraId="0C25122D">
      <w:pPr>
        <w:rPr>
          <w:highlight w:val="none"/>
        </w:rPr>
      </w:pPr>
      <w:r>
        <w:rPr>
          <w:highlight w:val="none"/>
        </w:rPr>
        <w:t xml:space="preserve">  - Personal Mobile Service </w:t>
      </w:r>
      <w:r>
        <w:rPr>
          <w:b/>
          <w:highlight w:val="none"/>
        </w:rPr>
        <w:t xml:space="preserve">(SMP), </w:t>
      </w:r>
    </w:p>
    <w:p w14:paraId="053700C6">
      <w:pPr>
        <w:rPr>
          <w:highlight w:val="none"/>
        </w:rPr>
      </w:pPr>
      <w:r>
        <w:rPr>
          <w:highlight w:val="none"/>
        </w:rPr>
        <w:t xml:space="preserve">  - Global Mobile Satellite Service </w:t>
      </w:r>
      <w:r>
        <w:rPr>
          <w:b/>
          <w:highlight w:val="none"/>
        </w:rPr>
        <w:t xml:space="preserve">(SMGS). </w:t>
      </w:r>
    </w:p>
    <w:p w14:paraId="2A2556CA">
      <w:pPr>
        <w:rPr>
          <w:highlight w:val="none"/>
        </w:rPr>
      </w:pPr>
      <w:r>
        <w:rPr>
          <w:highlight w:val="none"/>
        </w:rPr>
        <w:t xml:space="preserve">These authorizations are complementary and indispensable. </w:t>
      </w:r>
      <w:r>
        <w:rPr>
          <w:bCs/>
          <w:highlight w:val="none"/>
        </w:rPr>
        <w:t xml:space="preserve">The </w:t>
      </w:r>
      <w:r>
        <w:rPr>
          <w:highlight w:val="none"/>
        </w:rPr>
        <w:t xml:space="preserve">report details the requirements and steps for each. </w:t>
      </w:r>
    </w:p>
    <w:p w14:paraId="757F5953">
      <w:pPr>
        <w:rPr>
          <w:highlight w:val="none"/>
        </w:rPr>
      </w:pPr>
      <w:r>
        <w:rPr>
          <w:highlight w:val="none"/>
        </w:rPr>
        <w:t xml:space="preserve">&gt; Note: This document deals only with foreign satellites. </w:t>
      </w:r>
    </w:p>
    <w:p w14:paraId="3192AC1B">
      <w:pPr>
        <w:rPr>
          <w:highlight w:val="none"/>
        </w:rPr>
      </w:pPr>
      <w:r>
        <w:rPr>
          <w:highlight w:val="none"/>
        </w:rPr>
        <w:br w:type="page"/>
      </w:r>
    </w:p>
    <w:p w14:paraId="62E15176">
      <w:pPr>
        <w:pStyle w:val="4"/>
        <w:rPr>
          <w:highlight w:val="none"/>
        </w:rPr>
      </w:pPr>
      <w:r>
        <w:rPr>
          <w:highlight w:val="none"/>
        </w:rPr>
        <w:t>2. Right to Exploit Foreign Satellite</w:t>
      </w:r>
    </w:p>
    <w:p w14:paraId="78FF0AE8">
      <w:pPr>
        <w:pStyle w:val="5"/>
        <w:rPr>
          <w:highlight w:val="none"/>
        </w:rPr>
      </w:pPr>
      <w:r>
        <w:rPr>
          <w:highlight w:val="none"/>
        </w:rPr>
        <w:t>2.1 Corporate structure</w:t>
      </w:r>
    </w:p>
    <w:p w14:paraId="6B526DD3">
      <w:pPr>
        <w:rPr>
          <w:highlight w:val="none"/>
        </w:rPr>
      </w:pPr>
      <w:r>
        <w:rPr>
          <w:highlight w:val="none"/>
        </w:rPr>
        <w:t xml:space="preserve">- Creation of the Brazilian company Spacesail Brazil Holding </w:t>
      </w:r>
      <w:r>
        <w:rPr>
          <w:b/>
          <w:highlight w:val="none"/>
        </w:rPr>
        <w:t xml:space="preserve">(SBH) </w:t>
      </w:r>
      <w:r>
        <w:rPr>
          <w:highlight w:val="none"/>
        </w:rPr>
        <w:t xml:space="preserve">linked to </w:t>
      </w:r>
      <w:r>
        <w:rPr>
          <w:b/>
          <w:highlight w:val="none"/>
        </w:rPr>
        <w:t xml:space="preserve">Spacesail </w:t>
      </w:r>
      <w:r>
        <w:rPr>
          <w:highlight w:val="none"/>
        </w:rPr>
        <w:t xml:space="preserve">China. </w:t>
      </w:r>
    </w:p>
    <w:p w14:paraId="544C281E">
      <w:pPr>
        <w:rPr>
          <w:highlight w:val="none"/>
        </w:rPr>
      </w:pPr>
      <w:r>
        <w:rPr>
          <w:highlight w:val="none"/>
        </w:rPr>
        <w:t xml:space="preserve">- SBH registration </w:t>
      </w:r>
      <w:r>
        <w:rPr>
          <w:b/>
          <w:highlight w:val="none"/>
        </w:rPr>
        <w:t xml:space="preserve"> </w:t>
      </w:r>
      <w:r>
        <w:rPr>
          <w:highlight w:val="none"/>
        </w:rPr>
        <w:t xml:space="preserve">with the </w:t>
      </w:r>
      <w:r>
        <w:rPr>
          <w:b/>
          <w:highlight w:val="none"/>
        </w:rPr>
        <w:t xml:space="preserve">CNPJ. </w:t>
      </w:r>
    </w:p>
    <w:p w14:paraId="08ABF978">
      <w:pPr>
        <w:rPr>
          <w:highlight w:val="none"/>
        </w:rPr>
      </w:pPr>
      <w:r>
        <w:rPr>
          <w:highlight w:val="none"/>
        </w:rPr>
        <w:t xml:space="preserve">- Appointment of </w:t>
      </w:r>
      <w:r>
        <w:rPr>
          <w:b/>
          <w:highlight w:val="none"/>
        </w:rPr>
        <w:t xml:space="preserve">SBH </w:t>
      </w:r>
      <w:r>
        <w:rPr>
          <w:highlight w:val="none"/>
        </w:rPr>
        <w:t xml:space="preserve">as the legal representative of the foreign operator. </w:t>
      </w:r>
    </w:p>
    <w:p w14:paraId="488E19A7">
      <w:pPr>
        <w:rPr>
          <w:highlight w:val="none"/>
        </w:rPr>
      </w:pPr>
      <w:r>
        <w:rPr>
          <w:highlight w:val="none"/>
        </w:rPr>
        <w:t xml:space="preserve">- Appointment of SBH's legal representative </w:t>
      </w:r>
      <w:r>
        <w:rPr>
          <w:b/>
          <w:highlight w:val="none"/>
        </w:rPr>
        <w:t xml:space="preserve"> </w:t>
      </w:r>
      <w:r>
        <w:rPr>
          <w:highlight w:val="none"/>
        </w:rPr>
        <w:t xml:space="preserve">with Anatel. </w:t>
      </w:r>
    </w:p>
    <w:p w14:paraId="0E7B0A31">
      <w:pPr>
        <w:pStyle w:val="5"/>
        <w:rPr>
          <w:highlight w:val="none"/>
        </w:rPr>
      </w:pPr>
      <w:r>
        <w:rPr>
          <w:highlight w:val="none"/>
        </w:rPr>
        <w:t>2.2 Required documentation</w:t>
      </w:r>
    </w:p>
    <w:p w14:paraId="2142AA35">
      <w:pPr>
        <w:rPr>
          <w:highlight w:val="none"/>
        </w:rPr>
      </w:pPr>
      <w:r>
        <w:rPr>
          <w:b/>
          <w:highlight w:val="none"/>
        </w:rPr>
        <w:t xml:space="preserve">The SBH </w:t>
      </w:r>
      <w:r>
        <w:rPr>
          <w:highlight w:val="none"/>
        </w:rPr>
        <w:t xml:space="preserve">must present: </w:t>
      </w:r>
    </w:p>
    <w:p w14:paraId="158873C5">
      <w:pPr>
        <w:rPr>
          <w:highlight w:val="none"/>
        </w:rPr>
      </w:pPr>
      <w:r>
        <w:rPr>
          <w:highlight w:val="none"/>
        </w:rPr>
        <w:t xml:space="preserve">1. Valid registration with the </w:t>
      </w:r>
      <w:r>
        <w:rPr>
          <w:b/>
          <w:highlight w:val="none"/>
        </w:rPr>
        <w:t xml:space="preserve">CNPJ. </w:t>
      </w:r>
    </w:p>
    <w:p w14:paraId="2ECE0F1B">
      <w:pPr>
        <w:rPr>
          <w:highlight w:val="none"/>
        </w:rPr>
      </w:pPr>
      <w:r>
        <w:rPr>
          <w:highlight w:val="none"/>
        </w:rPr>
        <w:t xml:space="preserve">2. Articles of incorporation of the company. </w:t>
      </w:r>
    </w:p>
    <w:p w14:paraId="32263DAD">
      <w:pPr>
        <w:rPr>
          <w:highlight w:val="none"/>
        </w:rPr>
      </w:pPr>
      <w:r>
        <w:rPr>
          <w:highlight w:val="none"/>
        </w:rPr>
        <w:t xml:space="preserve">3. </w:t>
      </w:r>
      <w:r>
        <w:rPr>
          <w:highlight w:val="none"/>
        </w:rPr>
        <w:t>Declaration of not being prohibited from bidding or contracting with the Government.</w:t>
      </w:r>
      <w:r>
        <w:rPr>
          <w:highlight w:val="none"/>
        </w:rPr>
        <w:t xml:space="preserve"> </w:t>
      </w:r>
    </w:p>
    <w:p w14:paraId="0018D88A">
      <w:pPr>
        <w:rPr>
          <w:highlight w:val="none"/>
        </w:rPr>
      </w:pPr>
      <w:r>
        <w:rPr>
          <w:highlight w:val="none"/>
        </w:rPr>
        <w:t xml:space="preserve">4. </w:t>
      </w:r>
      <w:r>
        <w:rPr>
          <w:highlight w:val="none"/>
        </w:rPr>
        <w:t>Proof of legal and technical qualification, economic and financial capacity and tax regularity.</w:t>
      </w:r>
      <w:r>
        <w:rPr>
          <w:highlight w:val="none"/>
        </w:rPr>
        <w:t xml:space="preserve"> </w:t>
      </w:r>
    </w:p>
    <w:p w14:paraId="5437CC92">
      <w:pPr>
        <w:rPr>
          <w:highlight w:val="none"/>
        </w:rPr>
      </w:pPr>
      <w:r>
        <w:rPr>
          <w:highlight w:val="none"/>
        </w:rPr>
        <w:t xml:space="preserve">5. Simplified technical design of the satellite communication system. </w:t>
      </w:r>
    </w:p>
    <w:p w14:paraId="7BAFDDD8">
      <w:pPr>
        <w:rPr>
          <w:highlight w:val="none"/>
        </w:rPr>
      </w:pPr>
      <w:r>
        <w:rPr>
          <w:highlight w:val="none"/>
        </w:rPr>
        <w:t xml:space="preserve">6. </w:t>
      </w:r>
      <w:r>
        <w:rPr>
          <w:highlight w:val="none"/>
        </w:rPr>
        <w:t xml:space="preserve">Declaration of compliance with the applicable regulations. </w:t>
      </w:r>
    </w:p>
    <w:p w14:paraId="24DEA906">
      <w:pPr>
        <w:rPr>
          <w:highlight w:val="none"/>
        </w:rPr>
      </w:pPr>
      <w:r>
        <w:rPr>
          <w:highlight w:val="none"/>
        </w:rPr>
        <w:t xml:space="preserve">7. Document issued by the competent body in the country of origin (filing) with a sworn translation. </w:t>
      </w:r>
    </w:p>
    <w:p w14:paraId="0D0700E8">
      <w:pPr>
        <w:rPr>
          <w:highlight w:val="none"/>
        </w:rPr>
      </w:pPr>
      <w:r>
        <w:rPr>
          <w:highlight w:val="none"/>
        </w:rPr>
        <w:t xml:space="preserve">8. Agreements or proof of frequency coordination efforts. </w:t>
      </w:r>
    </w:p>
    <w:p w14:paraId="60BA80D2">
      <w:pPr>
        <w:rPr>
          <w:highlight w:val="none"/>
        </w:rPr>
      </w:pPr>
      <w:r>
        <w:rPr>
          <w:highlight w:val="none"/>
        </w:rPr>
        <w:t xml:space="preserve">9. Colocation agreements, if applicable. </w:t>
      </w:r>
    </w:p>
    <w:p w14:paraId="6DECEF7F">
      <w:pPr>
        <w:rPr>
          <w:highlight w:val="none"/>
        </w:rPr>
      </w:pPr>
      <w:r>
        <w:rPr>
          <w:highlight w:val="none"/>
        </w:rPr>
        <w:t xml:space="preserve">10. </w:t>
      </w:r>
      <w:r>
        <w:rPr>
          <w:highlight w:val="none"/>
        </w:rPr>
        <w:t>Indication of the company responsible for paying the Fistel fees</w:t>
      </w:r>
      <w:r>
        <w:rPr>
          <w:highlight w:val="none"/>
        </w:rPr>
        <w:t xml:space="preserve">. </w:t>
      </w:r>
    </w:p>
    <w:p w14:paraId="35ACDAF7">
      <w:pPr>
        <w:rPr>
          <w:highlight w:val="none"/>
        </w:rPr>
      </w:pPr>
      <w:r>
        <w:rPr>
          <w:highlight w:val="none"/>
        </w:rPr>
        <w:t xml:space="preserve">11. Simplified technical information of the satellite system: </w:t>
      </w:r>
    </w:p>
    <w:p w14:paraId="43590B13">
      <w:pPr>
        <w:rPr>
          <w:highlight w:val="none"/>
        </w:rPr>
      </w:pPr>
      <w:r>
        <w:rPr>
          <w:highlight w:val="none"/>
        </w:rPr>
        <w:t xml:space="preserve">    - System name, </w:t>
      </w:r>
    </w:p>
    <w:p w14:paraId="4A0AAD78">
      <w:pPr>
        <w:rPr>
          <w:highlight w:val="none"/>
        </w:rPr>
      </w:pPr>
      <w:r>
        <w:rPr>
          <w:highlight w:val="none"/>
        </w:rPr>
        <w:t xml:space="preserve">    - Orbital position, </w:t>
      </w:r>
    </w:p>
    <w:p w14:paraId="16ADBF12">
      <w:pPr>
        <w:rPr>
          <w:highlight w:val="none"/>
        </w:rPr>
      </w:pPr>
      <w:r>
        <w:rPr>
          <w:highlight w:val="none"/>
        </w:rPr>
        <w:t xml:space="preserve">    - Number of associated satellites, </w:t>
      </w:r>
    </w:p>
    <w:p w14:paraId="2287CD4A">
      <w:pPr>
        <w:rPr>
          <w:highlight w:val="none"/>
        </w:rPr>
      </w:pPr>
      <w:r>
        <w:rPr>
          <w:highlight w:val="none"/>
        </w:rPr>
        <w:t xml:space="preserve">    - Satellite networks in </w:t>
      </w:r>
      <w:r>
        <w:rPr>
          <w:b/>
          <w:highlight w:val="none"/>
        </w:rPr>
        <w:t xml:space="preserve">the ITU </w:t>
      </w:r>
      <w:r>
        <w:rPr>
          <w:highlight w:val="none"/>
        </w:rPr>
        <w:t xml:space="preserve">(filings), </w:t>
      </w:r>
    </w:p>
    <w:p w14:paraId="4EDB48C1">
      <w:pPr>
        <w:rPr>
          <w:highlight w:val="none"/>
        </w:rPr>
      </w:pPr>
      <w:r>
        <w:rPr>
          <w:highlight w:val="none"/>
        </w:rPr>
        <w:t xml:space="preserve">    -</w:t>
      </w:r>
      <w:r>
        <w:rPr>
          <w:highlight w:val="none"/>
        </w:rPr>
        <w:t xml:space="preserve"> Launch and start of operation dates in Brazil, </w:t>
      </w:r>
    </w:p>
    <w:p w14:paraId="4D82E8C8">
      <w:pPr>
        <w:rPr>
          <w:highlight w:val="none"/>
        </w:rPr>
      </w:pPr>
      <w:r>
        <w:rPr>
          <w:highlight w:val="none"/>
        </w:rPr>
        <w:t xml:space="preserve">    - Orbital control accuracy, </w:t>
      </w:r>
    </w:p>
    <w:p w14:paraId="3229243D">
      <w:pPr>
        <w:rPr>
          <w:highlight w:val="none"/>
        </w:rPr>
      </w:pPr>
      <w:r>
        <w:rPr>
          <w:highlight w:val="none"/>
        </w:rPr>
        <w:t xml:space="preserve">    - Gateways planned in Brazil, </w:t>
      </w:r>
    </w:p>
    <w:p w14:paraId="6F5FFAFE">
      <w:pPr>
        <w:rPr>
          <w:highlight w:val="none"/>
        </w:rPr>
      </w:pPr>
      <w:r>
        <w:rPr>
          <w:highlight w:val="none"/>
        </w:rPr>
        <w:t xml:space="preserve">    - Coverage area, </w:t>
      </w:r>
    </w:p>
    <w:p w14:paraId="502CE360">
      <w:pPr>
        <w:rPr>
          <w:highlight w:val="none"/>
        </w:rPr>
      </w:pPr>
      <w:r>
        <w:rPr>
          <w:highlight w:val="none"/>
        </w:rPr>
        <w:t xml:space="preserve">    - Frequency bands (start, end, rise/fall, bias), </w:t>
      </w:r>
    </w:p>
    <w:p w14:paraId="651BB283">
      <w:pPr>
        <w:rPr>
          <w:highlight w:val="none"/>
        </w:rPr>
      </w:pPr>
      <w:r>
        <w:rPr>
          <w:highlight w:val="none"/>
        </w:rPr>
        <w:t xml:space="preserve">    - </w:t>
      </w:r>
      <w:r>
        <w:rPr>
          <w:b/>
          <w:highlight w:val="none"/>
        </w:rPr>
        <w:t xml:space="preserve">TT&amp;C </w:t>
      </w:r>
      <w:r>
        <w:rPr>
          <w:highlight w:val="none"/>
        </w:rPr>
        <w:t xml:space="preserve">stations (telemetry, tracking and control), </w:t>
      </w:r>
    </w:p>
    <w:p w14:paraId="729C4738">
      <w:pPr>
        <w:rPr>
          <w:highlight w:val="none"/>
        </w:rPr>
      </w:pPr>
      <w:r>
        <w:rPr>
          <w:highlight w:val="none"/>
        </w:rPr>
        <w:t xml:space="preserve">    - Orbital parameters (planes, inclination, altitudes, satellites per plane). </w:t>
      </w:r>
    </w:p>
    <w:p w14:paraId="7065244E">
      <w:pPr>
        <w:pStyle w:val="5"/>
        <w:rPr>
          <w:highlight w:val="none"/>
        </w:rPr>
      </w:pPr>
      <w:r>
        <w:rPr>
          <w:highlight w:val="none"/>
        </w:rPr>
        <w:t>2.3 Frequency coordination</w:t>
      </w:r>
    </w:p>
    <w:p w14:paraId="732EB301">
      <w:pPr>
        <w:rPr>
          <w:highlight w:val="none"/>
        </w:rPr>
      </w:pPr>
      <w:r>
        <w:rPr>
          <w:highlight w:val="none"/>
        </w:rPr>
        <w:t xml:space="preserve">- </w:t>
      </w:r>
      <w:r>
        <w:rPr>
          <w:b/>
          <w:highlight w:val="none"/>
        </w:rPr>
        <w:t xml:space="preserve">SBH </w:t>
      </w:r>
      <w:r>
        <w:rPr>
          <w:highlight w:val="none"/>
        </w:rPr>
        <w:t xml:space="preserve">should start negotiations with other operators. </w:t>
      </w:r>
    </w:p>
    <w:p w14:paraId="61961224">
      <w:pPr>
        <w:rPr>
          <w:highlight w:val="none"/>
        </w:rPr>
      </w:pPr>
      <w:r>
        <w:rPr>
          <w:highlight w:val="none"/>
        </w:rPr>
        <w:t xml:space="preserve">- Records of efforts (minutes, reports, videos, etc.) must be presented. </w:t>
      </w:r>
    </w:p>
    <w:p w14:paraId="5542D4C1">
      <w:pPr>
        <w:rPr>
          <w:highlight w:val="none"/>
        </w:rPr>
      </w:pPr>
      <w:r>
        <w:rPr>
          <w:highlight w:val="none"/>
        </w:rPr>
        <w:t xml:space="preserve">- Anatel's authorization will be: </w:t>
      </w:r>
    </w:p>
    <w:p w14:paraId="7FE8DC9B">
      <w:pPr>
        <w:rPr>
          <w:highlight w:val="none"/>
        </w:rPr>
      </w:pPr>
      <w:r>
        <w:rPr>
          <w:highlight w:val="none"/>
        </w:rPr>
        <w:t xml:space="preserve">  - Primary, when coordination is completed. </w:t>
      </w:r>
    </w:p>
    <w:p w14:paraId="2364271D">
      <w:pPr>
        <w:rPr>
          <w:highlight w:val="none"/>
        </w:rPr>
      </w:pPr>
      <w:r>
        <w:rPr>
          <w:highlight w:val="none"/>
        </w:rPr>
        <w:t xml:space="preserve">  - Secondary, when there is still no agreement, without protection against interference. </w:t>
      </w:r>
    </w:p>
    <w:p w14:paraId="543D404D">
      <w:pPr>
        <w:pStyle w:val="5"/>
        <w:rPr>
          <w:highlight w:val="none"/>
        </w:rPr>
      </w:pPr>
      <w:r>
        <w:rPr>
          <w:highlight w:val="none"/>
        </w:rPr>
        <w:t>2.4 Costs</w:t>
      </w:r>
    </w:p>
    <w:p w14:paraId="4CD8AFBA">
      <w:pPr>
        <w:rPr>
          <w:highlight w:val="none"/>
        </w:rPr>
      </w:pPr>
      <w:r>
        <w:rPr>
          <w:highlight w:val="none"/>
        </w:rPr>
        <w:t xml:space="preserve">- Fee for the right to exploit: </w:t>
      </w:r>
      <w:r>
        <w:rPr>
          <w:b/>
          <w:highlight w:val="none"/>
        </w:rPr>
        <w:t xml:space="preserve">R$ </w:t>
      </w:r>
      <w:r>
        <w:rPr>
          <w:highlight w:val="none"/>
        </w:rPr>
        <w:t xml:space="preserve">102,677.00. </w:t>
      </w:r>
    </w:p>
    <w:p w14:paraId="2FDA3FAC">
      <w:pPr>
        <w:rPr>
          <w:highlight w:val="none"/>
        </w:rPr>
      </w:pPr>
      <w:r>
        <w:rPr>
          <w:highlight w:val="none"/>
        </w:rPr>
        <w:br w:type="page"/>
      </w:r>
    </w:p>
    <w:p w14:paraId="62C97FCD">
      <w:pPr>
        <w:pStyle w:val="4"/>
        <w:rPr>
          <w:highlight w:val="none"/>
        </w:rPr>
      </w:pPr>
      <w:r>
        <w:rPr>
          <w:highlight w:val="none"/>
        </w:rPr>
        <w:t>3. Authorization to Provide Services to the End User</w:t>
      </w:r>
    </w:p>
    <w:p w14:paraId="6738BEE7">
      <w:pPr>
        <w:pStyle w:val="5"/>
        <w:rPr>
          <w:highlight w:val="none"/>
        </w:rPr>
      </w:pPr>
      <w:r>
        <w:rPr>
          <w:highlight w:val="none"/>
        </w:rPr>
        <w:t>3.1 Corporate structure</w:t>
      </w:r>
    </w:p>
    <w:p w14:paraId="07007F2F">
      <w:pPr>
        <w:rPr>
          <w:highlight w:val="none"/>
        </w:rPr>
      </w:pPr>
      <w:r>
        <w:rPr>
          <w:highlight w:val="none"/>
        </w:rPr>
        <w:t xml:space="preserve">- Creation of the company Spacesail Brazil Serviços </w:t>
      </w:r>
      <w:r>
        <w:rPr>
          <w:b/>
          <w:highlight w:val="none"/>
        </w:rPr>
        <w:t xml:space="preserve">(SBS), </w:t>
      </w:r>
      <w:r>
        <w:rPr>
          <w:highlight w:val="none"/>
        </w:rPr>
        <w:t xml:space="preserve">registered with the </w:t>
      </w:r>
      <w:r>
        <w:rPr>
          <w:b/>
          <w:highlight w:val="none"/>
        </w:rPr>
        <w:t xml:space="preserve">CNPJ. </w:t>
      </w:r>
    </w:p>
    <w:p w14:paraId="391BEAB1">
      <w:pPr>
        <w:rPr>
          <w:highlight w:val="none"/>
        </w:rPr>
      </w:pPr>
      <w:r>
        <w:rPr>
          <w:highlight w:val="none"/>
        </w:rPr>
        <w:t xml:space="preserve">- </w:t>
      </w:r>
      <w:r>
        <w:rPr>
          <w:b/>
          <w:highlight w:val="none"/>
        </w:rPr>
        <w:t xml:space="preserve">SBS </w:t>
      </w:r>
      <w:r>
        <w:rPr>
          <w:highlight w:val="none"/>
        </w:rPr>
        <w:t>will be responsib</w:t>
      </w:r>
      <w:bookmarkStart w:id="0" w:name="_GoBack"/>
      <w:bookmarkEnd w:id="0"/>
      <w:r>
        <w:rPr>
          <w:highlight w:val="none"/>
        </w:rPr>
        <w:t xml:space="preserve">le for offering services to subscribers. </w:t>
      </w:r>
    </w:p>
    <w:p w14:paraId="7F07601D">
      <w:pPr>
        <w:pStyle w:val="5"/>
        <w:rPr>
          <w:highlight w:val="none"/>
        </w:rPr>
      </w:pPr>
      <w:r>
        <w:rPr>
          <w:highlight w:val="none"/>
        </w:rPr>
        <w:t>3.2 Possible services</w:t>
      </w:r>
    </w:p>
    <w:p w14:paraId="58FF343E">
      <w:pPr>
        <w:rPr>
          <w:highlight w:val="none"/>
        </w:rPr>
      </w:pPr>
      <w:r>
        <w:rPr>
          <w:highlight w:val="none"/>
        </w:rPr>
        <w:t xml:space="preserve">- </w:t>
      </w:r>
      <w:r>
        <w:rPr>
          <w:b/>
          <w:highlight w:val="none"/>
        </w:rPr>
        <w:t xml:space="preserve">SCM </w:t>
      </w:r>
      <w:r>
        <w:rPr>
          <w:highlight w:val="none"/>
        </w:rPr>
        <w:t xml:space="preserve">(Multimedia Communication Service): fixed, flexible and comprehensive broadband. </w:t>
      </w:r>
    </w:p>
    <w:p w14:paraId="5184042A">
      <w:pPr>
        <w:rPr>
          <w:highlight w:val="none"/>
        </w:rPr>
      </w:pPr>
      <w:r>
        <w:rPr>
          <w:highlight w:val="none"/>
        </w:rPr>
        <w:t xml:space="preserve">- </w:t>
      </w:r>
      <w:r>
        <w:rPr>
          <w:b/>
          <w:highlight w:val="none"/>
        </w:rPr>
        <w:t xml:space="preserve">SMGS </w:t>
      </w:r>
      <w:r>
        <w:rPr>
          <w:highlight w:val="none"/>
        </w:rPr>
        <w:t xml:space="preserve">(Global Mobile Satellite Service): direct communication between terminals and satellites. </w:t>
      </w:r>
    </w:p>
    <w:p w14:paraId="50A0B0B3">
      <w:pPr>
        <w:rPr>
          <w:highlight w:val="none"/>
        </w:rPr>
      </w:pPr>
      <w:r>
        <w:rPr>
          <w:highlight w:val="none"/>
        </w:rPr>
        <w:t xml:space="preserve">- </w:t>
      </w:r>
      <w:r>
        <w:rPr>
          <w:b/>
          <w:highlight w:val="none"/>
        </w:rPr>
        <w:t xml:space="preserve">SMP </w:t>
      </w:r>
      <w:r>
        <w:rPr>
          <w:highlight w:val="none"/>
        </w:rPr>
        <w:t xml:space="preserve">(Personal Mobile Service): mobile communications service, including future applications of *Direct to Device </w:t>
      </w:r>
      <w:r>
        <w:rPr>
          <w:b/>
          <w:highlight w:val="none"/>
        </w:rPr>
        <w:t xml:space="preserve">(D2D). </w:t>
      </w:r>
    </w:p>
    <w:p w14:paraId="3FA79D04">
      <w:pPr>
        <w:pStyle w:val="5"/>
        <w:rPr>
          <w:highlight w:val="none"/>
        </w:rPr>
      </w:pPr>
      <w:r>
        <w:rPr>
          <w:highlight w:val="none"/>
        </w:rPr>
        <w:t>3.3 Required documentation</w:t>
      </w:r>
    </w:p>
    <w:p w14:paraId="1C3F8210">
      <w:pPr>
        <w:rPr>
          <w:highlight w:val="none"/>
        </w:rPr>
      </w:pPr>
      <w:r>
        <w:rPr>
          <w:b/>
          <w:highlight w:val="none"/>
        </w:rPr>
        <w:t xml:space="preserve">SBS </w:t>
      </w:r>
      <w:r>
        <w:rPr>
          <w:highlight w:val="none"/>
        </w:rPr>
        <w:t xml:space="preserve">must present: </w:t>
      </w:r>
    </w:p>
    <w:p w14:paraId="4B6D70F6">
      <w:pPr>
        <w:rPr>
          <w:highlight w:val="none"/>
        </w:rPr>
      </w:pPr>
      <w:r>
        <w:rPr>
          <w:highlight w:val="none"/>
        </w:rPr>
        <w:t xml:space="preserve">1. Valid registration with the </w:t>
      </w:r>
      <w:r>
        <w:rPr>
          <w:b/>
          <w:highlight w:val="none"/>
        </w:rPr>
        <w:t xml:space="preserve">CNPJ. </w:t>
      </w:r>
    </w:p>
    <w:p w14:paraId="40935C58">
      <w:pPr>
        <w:rPr>
          <w:highlight w:val="none"/>
        </w:rPr>
      </w:pPr>
      <w:r>
        <w:rPr>
          <w:highlight w:val="none"/>
        </w:rPr>
        <w:t xml:space="preserve">2. Consolidated and registered articles of incorporation, including shareholding composition and election of managers (when applicable). </w:t>
      </w:r>
    </w:p>
    <w:p w14:paraId="704A60AD">
      <w:pPr>
        <w:rPr>
          <w:highlight w:val="none"/>
        </w:rPr>
      </w:pPr>
      <w:r>
        <w:rPr>
          <w:highlight w:val="none"/>
        </w:rPr>
        <w:t xml:space="preserve">3. Declaration of incorporation under Brazilian laws and headquarters in the country. </w:t>
      </w:r>
    </w:p>
    <w:p w14:paraId="706BBC57">
      <w:pPr>
        <w:rPr>
          <w:highlight w:val="none"/>
        </w:rPr>
      </w:pPr>
      <w:r>
        <w:rPr>
          <w:highlight w:val="none"/>
        </w:rPr>
        <w:t xml:space="preserve">4. Declaration of suitability (not prevented from contracting, not declared unsuitable). </w:t>
      </w:r>
    </w:p>
    <w:p w14:paraId="70253A3B">
      <w:pPr>
        <w:rPr>
          <w:highlight w:val="none"/>
        </w:rPr>
      </w:pPr>
      <w:r>
        <w:rPr>
          <w:highlight w:val="none"/>
        </w:rPr>
        <w:t xml:space="preserve">5. </w:t>
      </w:r>
      <w:r>
        <w:rPr>
          <w:highlight w:val="none"/>
        </w:rPr>
        <w:t>Declaration of technical, economic qualification and tax regularity.</w:t>
      </w:r>
      <w:r>
        <w:rPr>
          <w:highlight w:val="none"/>
        </w:rPr>
        <w:t xml:space="preserve"> </w:t>
      </w:r>
    </w:p>
    <w:p w14:paraId="5F37E789">
      <w:pPr>
        <w:rPr>
          <w:highlight w:val="none"/>
        </w:rPr>
      </w:pPr>
      <w:r>
        <w:rPr>
          <w:highlight w:val="none"/>
        </w:rPr>
        <w:t xml:space="preserve">6. Declaration of not holding other collective service authorizations. </w:t>
      </w:r>
    </w:p>
    <w:p w14:paraId="7EBA6794">
      <w:pPr>
        <w:pStyle w:val="5"/>
        <w:rPr>
          <w:highlight w:val="none"/>
        </w:rPr>
      </w:pPr>
      <w:r>
        <w:rPr>
          <w:highlight w:val="none"/>
        </w:rPr>
        <w:t>3.4 Costs</w:t>
      </w:r>
    </w:p>
    <w:p w14:paraId="50249FC9">
      <w:pPr>
        <w:rPr>
          <w:highlight w:val="none"/>
        </w:rPr>
      </w:pPr>
      <w:r>
        <w:rPr>
          <w:highlight w:val="none"/>
        </w:rPr>
        <w:t xml:space="preserve">- </w:t>
      </w:r>
      <w:r>
        <w:rPr>
          <w:b/>
          <w:highlight w:val="none"/>
        </w:rPr>
        <w:t xml:space="preserve">SCM Authorization: R$ </w:t>
      </w:r>
      <w:r>
        <w:rPr>
          <w:highlight w:val="none"/>
        </w:rPr>
        <w:t xml:space="preserve">400.00. </w:t>
      </w:r>
    </w:p>
    <w:p w14:paraId="2812C826">
      <w:pPr>
        <w:rPr>
          <w:highlight w:val="none"/>
        </w:rPr>
      </w:pPr>
      <w:r>
        <w:rPr>
          <w:highlight w:val="none"/>
        </w:rPr>
        <w:t xml:space="preserve">&gt; Note: Companies with less than 5% of market share in the national market can be classified as Small Providers </w:t>
      </w:r>
      <w:r>
        <w:rPr>
          <w:b/>
          <w:highlight w:val="none"/>
        </w:rPr>
        <w:t xml:space="preserve">(PPP) </w:t>
      </w:r>
      <w:r>
        <w:rPr>
          <w:highlight w:val="none"/>
        </w:rPr>
        <w:t xml:space="preserve">and receive simplified regulatory treatment. </w:t>
      </w:r>
    </w:p>
    <w:p w14:paraId="73952362">
      <w:pPr>
        <w:rPr>
          <w:highlight w:val="none"/>
        </w:rPr>
      </w:pPr>
      <w:r>
        <w:rPr>
          <w:highlight w:val="none"/>
        </w:rPr>
        <w:br w:type="page"/>
      </w:r>
    </w:p>
    <w:p w14:paraId="3B7B4EAD">
      <w:pPr>
        <w:pStyle w:val="4"/>
        <w:rPr>
          <w:highlight w:val="none"/>
        </w:rPr>
      </w:pPr>
      <w:r>
        <w:rPr>
          <w:highlight w:val="none"/>
        </w:rPr>
        <w:t>4. Equipment Certification and Approval</w:t>
      </w:r>
    </w:p>
    <w:p w14:paraId="0486283B">
      <w:pPr>
        <w:rPr>
          <w:highlight w:val="none"/>
        </w:rPr>
      </w:pPr>
      <w:r>
        <w:rPr>
          <w:highlight w:val="none"/>
        </w:rPr>
        <w:t xml:space="preserve">- All network and user equipment must be certified by Anatel. </w:t>
      </w:r>
    </w:p>
    <w:p w14:paraId="29C209B2">
      <w:pPr>
        <w:rPr>
          <w:highlight w:val="none"/>
        </w:rPr>
      </w:pPr>
      <w:r>
        <w:rPr>
          <w:highlight w:val="none"/>
        </w:rPr>
        <w:t>- Process conducted by Designated Certification Bodies (OCDs). CPQD will provide a list with all documents needed and conduct the process for certification.</w:t>
      </w:r>
    </w:p>
    <w:p w14:paraId="13FAB63A">
      <w:pPr>
        <w:rPr>
          <w:highlight w:val="none"/>
        </w:rPr>
      </w:pPr>
      <w:r>
        <w:rPr>
          <w:highlight w:val="none"/>
        </w:rPr>
        <w:t xml:space="preserve">- Normative basis: Regulation for Conformity Assessment and Approval of Telecommunications Products </w:t>
      </w:r>
      <w:r>
        <w:rPr>
          <w:b/>
          <w:highlight w:val="none"/>
        </w:rPr>
        <w:t xml:space="preserve">(RAC). </w:t>
      </w:r>
    </w:p>
    <w:p w14:paraId="142D8A44">
      <w:pPr>
        <w:rPr>
          <w:highlight w:val="none"/>
        </w:rPr>
      </w:pPr>
      <w:r>
        <w:rPr>
          <w:highlight w:val="none"/>
        </w:rPr>
        <w:br w:type="page"/>
      </w:r>
    </w:p>
    <w:p w14:paraId="321E1936">
      <w:pPr>
        <w:pStyle w:val="4"/>
        <w:rPr>
          <w:highlight w:val="none"/>
        </w:rPr>
      </w:pPr>
      <w:r>
        <w:rPr>
          <w:highlight w:val="none"/>
        </w:rPr>
        <w:t>5. Station Licensing</w:t>
      </w:r>
    </w:p>
    <w:p w14:paraId="47BA0389">
      <w:pPr>
        <w:pStyle w:val="5"/>
        <w:rPr>
          <w:highlight w:val="none"/>
        </w:rPr>
      </w:pPr>
      <w:r>
        <w:rPr>
          <w:highlight w:val="none"/>
        </w:rPr>
        <w:t>5.1 Definitions</w:t>
      </w:r>
    </w:p>
    <w:p w14:paraId="46266D38">
      <w:pPr>
        <w:rPr>
          <w:highlight w:val="none"/>
        </w:rPr>
      </w:pPr>
      <w:r>
        <w:rPr>
          <w:highlight w:val="none"/>
        </w:rPr>
        <w:t xml:space="preserve">- Telecommunications Station: set of telecommunications equipment and installations. </w:t>
      </w:r>
    </w:p>
    <w:p w14:paraId="4B38DE00">
      <w:pPr>
        <w:rPr>
          <w:highlight w:val="none"/>
        </w:rPr>
      </w:pPr>
      <w:r>
        <w:rPr>
          <w:highlight w:val="none"/>
        </w:rPr>
        <w:t xml:space="preserve">- Earth Station: located on the Earth's surface, it communicates with satellites. </w:t>
      </w:r>
    </w:p>
    <w:p w14:paraId="5FA98BFA">
      <w:pPr>
        <w:rPr>
          <w:highlight w:val="none"/>
        </w:rPr>
      </w:pPr>
      <w:r>
        <w:rPr>
          <w:highlight w:val="none"/>
        </w:rPr>
        <w:t xml:space="preserve">- Gateway: access station that connects satellites to terrestrial networks. </w:t>
      </w:r>
    </w:p>
    <w:p w14:paraId="066BD7D5">
      <w:pPr>
        <w:pStyle w:val="5"/>
        <w:rPr>
          <w:highlight w:val="none"/>
        </w:rPr>
      </w:pPr>
      <w:r>
        <w:rPr>
          <w:highlight w:val="none"/>
        </w:rPr>
        <w:t>5.2 Procedure</w:t>
      </w:r>
    </w:p>
    <w:p w14:paraId="7243A9F8">
      <w:pPr>
        <w:rPr>
          <w:highlight w:val="none"/>
        </w:rPr>
      </w:pPr>
      <w:r>
        <w:rPr>
          <w:highlight w:val="none"/>
        </w:rPr>
        <w:t xml:space="preserve">- Registration of stations in </w:t>
      </w:r>
      <w:r>
        <w:rPr>
          <w:b/>
          <w:highlight w:val="none"/>
        </w:rPr>
        <w:t xml:space="preserve">Anatel's </w:t>
      </w:r>
      <w:r>
        <w:rPr>
          <w:highlight w:val="none"/>
        </w:rPr>
        <w:t>BDTA.</w:t>
      </w:r>
    </w:p>
    <w:p w14:paraId="28DC73A6">
      <w:pPr>
        <w:rPr>
          <w:highlight w:val="none"/>
        </w:rPr>
      </w:pPr>
      <w:r>
        <w:rPr>
          <w:highlight w:val="none"/>
        </w:rPr>
        <w:t xml:space="preserve">- Licensing request via electronic system. </w:t>
      </w:r>
    </w:p>
    <w:p w14:paraId="2C4D7827">
      <w:pPr>
        <w:rPr>
          <w:highlight w:val="none"/>
        </w:rPr>
      </w:pPr>
      <w:r>
        <w:rPr>
          <w:highlight w:val="none"/>
        </w:rPr>
        <w:t xml:space="preserve">- </w:t>
      </w:r>
      <w:r>
        <w:rPr>
          <w:bCs/>
          <w:highlight w:val="none"/>
        </w:rPr>
        <w:t xml:space="preserve">The </w:t>
      </w:r>
      <w:r>
        <w:rPr>
          <w:highlight w:val="none"/>
        </w:rPr>
        <w:t xml:space="preserve">process follows the guidelines of the General Licensing Regulation </w:t>
      </w:r>
      <w:r>
        <w:rPr>
          <w:b/>
          <w:highlight w:val="none"/>
        </w:rPr>
        <w:t xml:space="preserve">(RGL). </w:t>
      </w:r>
    </w:p>
    <w:p w14:paraId="330749A2">
      <w:pPr>
        <w:rPr>
          <w:highlight w:val="none"/>
        </w:rPr>
      </w:pPr>
      <w:r>
        <w:rPr>
          <w:highlight w:val="none"/>
        </w:rPr>
        <w:t xml:space="preserve">- Licensing can be individual or block. </w:t>
      </w:r>
    </w:p>
    <w:p w14:paraId="39A0A10C">
      <w:pPr>
        <w:pStyle w:val="5"/>
        <w:rPr>
          <w:highlight w:val="none"/>
        </w:rPr>
      </w:pPr>
      <w:r>
        <w:rPr>
          <w:highlight w:val="none"/>
        </w:rPr>
        <w:t>5.3 Costs</w:t>
      </w:r>
    </w:p>
    <w:p w14:paraId="624F10FD">
      <w:pPr>
        <w:rPr>
          <w:highlight w:val="none"/>
        </w:rPr>
      </w:pPr>
      <w:r>
        <w:rPr>
          <w:highlight w:val="none"/>
        </w:rPr>
        <w:t xml:space="preserve">- Installation Inspection Fee </w:t>
      </w:r>
      <w:r>
        <w:rPr>
          <w:b/>
          <w:highlight w:val="none"/>
        </w:rPr>
        <w:t xml:space="preserve">(TFI): R$ </w:t>
      </w:r>
      <w:r>
        <w:rPr>
          <w:highlight w:val="none"/>
        </w:rPr>
        <w:t xml:space="preserve">26,816.00 per space station. </w:t>
      </w:r>
    </w:p>
    <w:p w14:paraId="0E4BACA1">
      <w:pPr>
        <w:rPr>
          <w:highlight w:val="none"/>
        </w:rPr>
      </w:pPr>
      <w:r>
        <w:rPr>
          <w:highlight w:val="none"/>
        </w:rPr>
        <w:t xml:space="preserve">- Operating Inspection Fee </w:t>
      </w:r>
      <w:r>
        <w:rPr>
          <w:b/>
          <w:highlight w:val="none"/>
        </w:rPr>
        <w:t xml:space="preserve">(TFF): </w:t>
      </w:r>
      <w:r>
        <w:rPr>
          <w:highlight w:val="none"/>
        </w:rPr>
        <w:t xml:space="preserve">50% of the </w:t>
      </w:r>
      <w:r>
        <w:rPr>
          <w:b/>
          <w:highlight w:val="none"/>
        </w:rPr>
        <w:t xml:space="preserve">TFI, </w:t>
      </w:r>
      <w:r>
        <w:rPr>
          <w:highlight w:val="none"/>
        </w:rPr>
        <w:t xml:space="preserve">annual. </w:t>
      </w:r>
    </w:p>
    <w:p w14:paraId="082A537D">
      <w:pPr>
        <w:pStyle w:val="5"/>
        <w:rPr>
          <w:highlight w:val="none"/>
        </w:rPr>
      </w:pPr>
      <w:r>
        <w:rPr>
          <w:highlight w:val="none"/>
        </w:rPr>
        <w:t>5.4 Observations</w:t>
      </w:r>
    </w:p>
    <w:p w14:paraId="5AD1A253">
      <w:pPr>
        <w:rPr>
          <w:highlight w:val="none"/>
        </w:rPr>
      </w:pPr>
      <w:r>
        <w:rPr>
          <w:highlight w:val="none"/>
        </w:rPr>
        <w:t xml:space="preserve">- For non-geostationary systems, licensing is done per system, simplifying the process. </w:t>
      </w:r>
    </w:p>
    <w:p w14:paraId="374D21AB">
      <w:pPr>
        <w:rPr>
          <w:highlight w:val="none"/>
        </w:rPr>
      </w:pPr>
      <w:r>
        <w:rPr>
          <w:highlight w:val="none"/>
        </w:rPr>
        <w:t xml:space="preserve">- </w:t>
      </w:r>
      <w:r>
        <w:rPr>
          <w:bCs/>
          <w:highlight w:val="none"/>
        </w:rPr>
        <w:t xml:space="preserve">Licensing </w:t>
      </w:r>
      <w:r>
        <w:rPr>
          <w:highlight w:val="none"/>
        </w:rPr>
        <w:t xml:space="preserve">can cover more than one service, with only the highest fee applying. </w:t>
      </w:r>
    </w:p>
    <w:p w14:paraId="25117CF5">
      <w:pPr>
        <w:rPr>
          <w:highlight w:val="none"/>
        </w:rPr>
      </w:pPr>
      <w:r>
        <w:rPr>
          <w:highlight w:val="none"/>
        </w:rPr>
        <w:t xml:space="preserve">- </w:t>
      </w:r>
      <w:r>
        <w:rPr>
          <w:bCs/>
          <w:highlight w:val="none"/>
        </w:rPr>
        <w:t xml:space="preserve"> </w:t>
      </w:r>
      <w:r>
        <w:rPr>
          <w:highlight w:val="none"/>
        </w:rPr>
        <w:t xml:space="preserve">Commercial operation can only start after the licensing of all stations. </w:t>
      </w:r>
    </w:p>
    <w:p w14:paraId="2AF382B2">
      <w:pPr>
        <w:rPr>
          <w:highlight w:val="none"/>
        </w:rPr>
      </w:pPr>
      <w:r>
        <w:rPr>
          <w:highlight w:val="none"/>
        </w:rPr>
        <w:br w:type="page"/>
      </w:r>
    </w:p>
    <w:p w14:paraId="5AE9A946">
      <w:pPr>
        <w:pStyle w:val="4"/>
        <w:rPr>
          <w:highlight w:val="none"/>
        </w:rPr>
      </w:pPr>
      <w:r>
        <w:rPr>
          <w:highlight w:val="none"/>
        </w:rPr>
        <w:t>6. Applicable Regulations</w:t>
      </w:r>
    </w:p>
    <w:p w14:paraId="510FCEA0">
      <w:pPr>
        <w:rPr>
          <w:highlight w:val="none"/>
        </w:rPr>
      </w:pPr>
      <w:r>
        <w:rPr>
          <w:highlight w:val="none"/>
        </w:rPr>
        <w:t>| Norm | Object |</w:t>
      </w:r>
    </w:p>
    <w:p w14:paraId="6676B50D">
      <w:pPr>
        <w:rPr>
          <w:highlight w:val="none"/>
        </w:rPr>
      </w:pPr>
      <w:r>
        <w:rPr>
          <w:highlight w:val="none"/>
        </w:rPr>
        <w:t>|----------|----------|</w:t>
      </w:r>
    </w:p>
    <w:p w14:paraId="730CA742">
      <w:pPr>
        <w:rPr>
          <w:highlight w:val="none"/>
        </w:rPr>
      </w:pPr>
      <w:r>
        <w:rPr>
          <w:highlight w:val="none"/>
        </w:rPr>
        <w:t>| Law No. 9,472/1997 | General Telecommunications Law (LGT) – right to exploit satellite |</w:t>
      </w:r>
    </w:p>
    <w:p w14:paraId="477992A0">
      <w:pPr>
        <w:rPr>
          <w:highlight w:val="none"/>
        </w:rPr>
      </w:pPr>
      <w:r>
        <w:rPr>
          <w:highlight w:val="none"/>
        </w:rPr>
        <w:t>| Resolution No. 748/2021 | General Regulation for the Exploitation of Satellites |</w:t>
      </w:r>
    </w:p>
    <w:p w14:paraId="1DFAE383">
      <w:pPr>
        <w:rPr>
          <w:highlight w:val="none"/>
        </w:rPr>
      </w:pPr>
      <w:r>
        <w:rPr>
          <w:highlight w:val="none"/>
        </w:rPr>
        <w:t>| Act No. 9,523/2021 | Technical and Operational Requirements for Satellite Communication Systems |</w:t>
      </w:r>
    </w:p>
    <w:p w14:paraId="3CF6D4D5">
      <w:pPr>
        <w:rPr>
          <w:highlight w:val="none"/>
        </w:rPr>
      </w:pPr>
      <w:r>
        <w:rPr>
          <w:highlight w:val="none"/>
        </w:rPr>
        <w:t>| Act No. 9,426/2021 | Technical parameters for coexistence between ground and satellite stations |</w:t>
      </w:r>
    </w:p>
    <w:p w14:paraId="644FCAB7">
      <w:pPr>
        <w:rPr>
          <w:highlight w:val="none"/>
        </w:rPr>
      </w:pPr>
      <w:r>
        <w:rPr>
          <w:highlight w:val="none"/>
        </w:rPr>
        <w:t>| Act No. 9,526/2021 | Requirements for obtaining the right to exploit satellites |</w:t>
      </w:r>
    </w:p>
    <w:p w14:paraId="6420B86D">
      <w:pPr>
        <w:rPr>
          <w:highlight w:val="none"/>
        </w:rPr>
      </w:pPr>
      <w:r>
        <w:rPr>
          <w:highlight w:val="none"/>
        </w:rPr>
        <w:t>| Law No. 5,070/1966 | Fistel Law – defines TFI and TFF |</w:t>
      </w:r>
    </w:p>
    <w:p w14:paraId="565027A8">
      <w:pPr>
        <w:rPr>
          <w:highlight w:val="none"/>
        </w:rPr>
      </w:pPr>
      <w:r>
        <w:rPr>
          <w:highlight w:val="none"/>
        </w:rPr>
        <w:t>| Resolution No. 715/2019 | Equipment Certification and Approval Regulation |</w:t>
      </w:r>
    </w:p>
    <w:p w14:paraId="5C0E2DBF">
      <w:pPr>
        <w:rPr>
          <w:highlight w:val="none"/>
        </w:rPr>
      </w:pPr>
      <w:r>
        <w:rPr>
          <w:highlight w:val="none"/>
        </w:rPr>
        <w:t>| Resolution No. 719/2020 | General Licensing Regulation (RGL) – defines rules for station licensing |</w:t>
      </w:r>
    </w:p>
    <w:p w14:paraId="26FDF0CC">
      <w:pPr>
        <w:rPr>
          <w:highlight w:val="none"/>
        </w:rPr>
      </w:pPr>
      <w:r>
        <w:rPr>
          <w:highlight w:val="none"/>
        </w:rPr>
        <w:br w:type="page"/>
      </w:r>
    </w:p>
    <w:p w14:paraId="770B97F9">
      <w:pPr>
        <w:pStyle w:val="4"/>
        <w:rPr>
          <w:highlight w:val="none"/>
        </w:rPr>
      </w:pPr>
      <w:r>
        <w:rPr>
          <w:highlight w:val="none"/>
        </w:rPr>
        <w:t>7. Conclusion</w:t>
      </w:r>
    </w:p>
    <w:p w14:paraId="12D231CE">
      <w:pPr>
        <w:rPr>
          <w:highlight w:val="none"/>
        </w:rPr>
      </w:pPr>
      <w:r>
        <w:rPr>
          <w:highlight w:val="none"/>
        </w:rPr>
        <w:t xml:space="preserve">To operate in Brazil, Spacesail must comply with a structured regulatory process that includes: </w:t>
      </w:r>
    </w:p>
    <w:p w14:paraId="24CD798A">
      <w:pPr>
        <w:rPr>
          <w:highlight w:val="none"/>
        </w:rPr>
      </w:pPr>
      <w:r>
        <w:rPr>
          <w:highlight w:val="none"/>
        </w:rPr>
        <w:t xml:space="preserve">1. Obtaining the Right to Exploit a Foreign Satellite </w:t>
      </w:r>
      <w:r>
        <w:rPr>
          <w:b/>
          <w:highlight w:val="none"/>
        </w:rPr>
        <w:t xml:space="preserve">(SBH). </w:t>
      </w:r>
    </w:p>
    <w:p w14:paraId="79BC6478">
      <w:pPr>
        <w:rPr>
          <w:highlight w:val="none"/>
        </w:rPr>
      </w:pPr>
      <w:r>
        <w:rPr>
          <w:highlight w:val="none"/>
        </w:rPr>
        <w:t xml:space="preserve">2. Obtaining Service Authorizations </w:t>
      </w:r>
      <w:r>
        <w:rPr>
          <w:b/>
          <w:highlight w:val="none"/>
        </w:rPr>
        <w:t xml:space="preserve">(SBS). </w:t>
      </w:r>
    </w:p>
    <w:p w14:paraId="4B67386B">
      <w:pPr>
        <w:rPr>
          <w:highlight w:val="none"/>
        </w:rPr>
      </w:pPr>
      <w:r>
        <w:rPr>
          <w:highlight w:val="none"/>
        </w:rPr>
        <w:t xml:space="preserve">3. Certification and approval of equipment. </w:t>
      </w:r>
    </w:p>
    <w:p w14:paraId="51EC3F34">
      <w:pPr>
        <w:rPr>
          <w:highlight w:val="none"/>
        </w:rPr>
      </w:pPr>
      <w:r>
        <w:rPr>
          <w:highlight w:val="none"/>
        </w:rPr>
        <w:t xml:space="preserve">4. Licensing of ground and space stations, in accordance with the </w:t>
      </w:r>
      <w:r>
        <w:rPr>
          <w:b/>
          <w:highlight w:val="none"/>
        </w:rPr>
        <w:t xml:space="preserve">RGL. </w:t>
      </w:r>
    </w:p>
    <w:p w14:paraId="6F41A207">
      <w:pPr>
        <w:rPr>
          <w:highlight w:val="none"/>
        </w:rPr>
      </w:pPr>
      <w:r>
        <w:rPr>
          <w:b/>
          <w:highlight w:val="none"/>
        </w:rPr>
        <w:t xml:space="preserve">Compliance </w:t>
      </w:r>
      <w:r>
        <w:rPr>
          <w:highlight w:val="none"/>
        </w:rPr>
        <w:t xml:space="preserve">with these steps ensures legal and technical compliance for entry into the Brazilian satellite telecommunications market. 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289E"/>
    <w:rsid w:val="00034616"/>
    <w:rsid w:val="0006063C"/>
    <w:rsid w:val="0015074B"/>
    <w:rsid w:val="00172ED0"/>
    <w:rsid w:val="00214CF8"/>
    <w:rsid w:val="0029639D"/>
    <w:rsid w:val="00326F90"/>
    <w:rsid w:val="00871B3F"/>
    <w:rsid w:val="00AA1D8D"/>
    <w:rsid w:val="00B47730"/>
    <w:rsid w:val="00B54152"/>
    <w:rsid w:val="00BA64DA"/>
    <w:rsid w:val="00BD17D7"/>
    <w:rsid w:val="00CB0664"/>
    <w:rsid w:val="00CF3A57"/>
    <w:rsid w:val="00D16E94"/>
    <w:rsid w:val="00F17010"/>
    <w:rsid w:val="00FC693F"/>
    <w:rsid w:val="0C490941"/>
    <w:rsid w:val="1F14659D"/>
    <w:rsid w:val="5BA66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Cabeçalho Char"/>
    <w:basedOn w:val="132"/>
    <w:link w:val="25"/>
    <w:qFormat/>
    <w:uiPriority w:val="99"/>
  </w:style>
  <w:style w:type="character" w:customStyle="1" w:styleId="136">
    <w:name w:val="Rodapé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Título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Título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Título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ítulo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ítulo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Corpo de texto Char"/>
    <w:basedOn w:val="132"/>
    <w:link w:val="19"/>
    <w:qFormat/>
    <w:uiPriority w:val="99"/>
  </w:style>
  <w:style w:type="character" w:customStyle="1" w:styleId="145">
    <w:name w:val="Corpo de texto 2 Char"/>
    <w:basedOn w:val="132"/>
    <w:link w:val="28"/>
    <w:qFormat/>
    <w:uiPriority w:val="99"/>
  </w:style>
  <w:style w:type="character" w:customStyle="1" w:styleId="146">
    <w:name w:val="Corpo de texto 3 Char"/>
    <w:basedOn w:val="132"/>
    <w:link w:val="17"/>
    <w:uiPriority w:val="99"/>
    <w:rPr>
      <w:sz w:val="16"/>
      <w:szCs w:val="16"/>
    </w:rPr>
  </w:style>
  <w:style w:type="character" w:customStyle="1" w:styleId="147">
    <w:name w:val="Texto de macro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Citação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Título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Título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Título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Título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Título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Título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Citação Intensa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styleId="164">
    <w:name w:val="Placeholder Text"/>
    <w:basedOn w:val="132"/>
    <w:semiHidden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1025</Words>
  <Characters>6083</Characters>
  <Lines>51</Lines>
  <Paragraphs>14</Paragraphs>
  <TotalTime>976</TotalTime>
  <ScaleCrop>false</ScaleCrop>
  <LinksUpToDate>false</LinksUpToDate>
  <CharactersWithSpaces>7131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FAFA</cp:lastModifiedBy>
  <dcterms:modified xsi:type="dcterms:W3CDTF">2026-03-12T09:26:35Z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eyJoZGlkIjoiNjJkYjhjNmI5N2JlM2RiMTk1MDBmODU5NmFiNDhkMTkiLCJ1c2VySWQiOiIxMTMyNTQ3NjUxIn0=</vt:lpwstr>
  </property>
  <property fmtid="{D5CDD505-2E9C-101B-9397-08002B2CF9AE}" pid="3" name="KSOProductBuildVer">
    <vt:lpwstr>2052-12.1.0.24034</vt:lpwstr>
  </property>
  <property fmtid="{D5CDD505-2E9C-101B-9397-08002B2CF9AE}" pid="4" name="ICV">
    <vt:lpwstr>C01142B68A244C5AAFC910CAAEE52FF7_12</vt:lpwstr>
  </property>
</Properties>
</file>