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i w:val="0"/>
          <w:color w:val="1F3A4D"/>
          <w:sz w:val="44"/>
        </w:rPr>
        <w:t>Executive Summary</w:t>
      </w:r>
    </w:p>
    <w:p>
      <w:pPr>
        <w:spacing w:after="40"/>
      </w:pPr>
      <w:r>
        <w:rPr>
          <w:b w:val="0"/>
          <w:i w:val="0"/>
          <w:sz w:val="24"/>
        </w:rPr>
        <w:t>Nassau Candy Distributor: Product Line Profitability &amp; Margin Performance</w:t>
      </w:r>
    </w:p>
    <w:p>
      <w:pPr>
        <w:spacing w:after="160"/>
      </w:pPr>
      <w:r>
        <w:rPr>
          <w:b w:val="0"/>
          <w:i/>
          <w:color w:val="555555"/>
          <w:sz w:val="18"/>
        </w:rPr>
        <w:t>Gopal Krushna Panda | October 2026</w:t>
      </w:r>
    </w:p>
    <w:p>
      <w:pPr>
        <w:pStyle w:val="Heading2"/>
      </w:pPr>
      <w:r>
        <w:t>Purpose</w:t>
      </w:r>
    </w:p>
    <w:p>
      <w:r>
        <w:rPr>
          <w:b w:val="0"/>
          <w:i w:val="0"/>
        </w:rPr>
        <w:t>This review shows which products and divisions really drive profit at Nassau Candy, and where pricing, sourcing or portfolio decisions are needed. It is based on 10,194 cleaned orders from 02 Jan 2024 to 31 Dec 2025.</w:t>
      </w:r>
    </w:p>
    <w:p>
      <w:pPr>
        <w:pStyle w:val="Heading2"/>
      </w:pPr>
      <w:r>
        <w:t>Headline numbers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color="auto" w:fill="34495E"/>
          </w:tcPr>
          <w:p>
            <w:r/>
            <w:r>
              <w:rPr>
                <w:b/>
                <w:color w:val="FFFFFF"/>
                <w:sz w:val="20"/>
              </w:rPr>
              <w:t>Total sales</w:t>
            </w:r>
          </w:p>
        </w:tc>
        <w:tc>
          <w:tcPr>
            <w:tcW w:type="dxa" w:w="2340"/>
            <w:shd w:val="clear" w:color="auto" w:fill="34495E"/>
          </w:tcPr>
          <w:p>
            <w:r/>
            <w:r>
              <w:rPr>
                <w:b/>
                <w:color w:val="FFFFFF"/>
                <w:sz w:val="20"/>
              </w:rPr>
              <w:t>Gross profit</w:t>
            </w:r>
          </w:p>
        </w:tc>
        <w:tc>
          <w:tcPr>
            <w:tcW w:type="dxa" w:w="2340"/>
            <w:shd w:val="clear" w:color="auto" w:fill="34495E"/>
          </w:tcPr>
          <w:p>
            <w:r/>
            <w:r>
              <w:rPr>
                <w:b/>
                <w:color w:val="FFFFFF"/>
                <w:sz w:val="20"/>
              </w:rPr>
              <w:t>Gross margin</w:t>
            </w:r>
          </w:p>
        </w:tc>
        <w:tc>
          <w:tcPr>
            <w:tcW w:type="dxa" w:w="2340"/>
            <w:shd w:val="clear" w:color="auto" w:fill="34495E"/>
          </w:tcPr>
          <w:p>
            <w:r/>
            <w:r>
              <w:rPr>
                <w:b/>
                <w:color w:val="FFFFFF"/>
                <w:sz w:val="20"/>
              </w:rPr>
              <w:t>Units sold</w:t>
            </w:r>
          </w:p>
        </w:tc>
      </w:tr>
      <w:tr>
        <w:tc>
          <w:tcPr>
            <w:tcW w:type="dxa" w:w="2340"/>
          </w:tcPr>
          <w:p>
            <w:r/>
            <w:r>
              <w:rPr>
                <w:sz w:val="20"/>
              </w:rPr>
              <w:t>$141,784</w:t>
            </w:r>
          </w:p>
        </w:tc>
        <w:tc>
          <w:tcPr>
            <w:tcW w:type="dxa" w:w="2340"/>
          </w:tcPr>
          <w:p>
            <w:pPr>
              <w:jc w:val="right"/>
            </w:pPr>
            <w:r/>
            <w:r>
              <w:rPr>
                <w:sz w:val="20"/>
              </w:rPr>
              <w:t>$93,443</w:t>
            </w:r>
          </w:p>
        </w:tc>
        <w:tc>
          <w:tcPr>
            <w:tcW w:type="dxa" w:w="2340"/>
          </w:tcPr>
          <w:p>
            <w:pPr>
              <w:jc w:val="right"/>
            </w:pPr>
            <w:r/>
            <w:r>
              <w:rPr>
                <w:sz w:val="20"/>
              </w:rPr>
              <w:t>65.9%</w:t>
            </w:r>
          </w:p>
        </w:tc>
        <w:tc>
          <w:tcPr>
            <w:tcW w:type="dxa" w:w="2340"/>
          </w:tcPr>
          <w:p>
            <w:pPr>
              <w:jc w:val="right"/>
            </w:pPr>
            <w:r/>
            <w:r>
              <w:rPr>
                <w:sz w:val="20"/>
              </w:rPr>
              <w:t>38,654</w:t>
            </w:r>
          </w:p>
        </w:tc>
      </w:tr>
    </w:tbl>
    <w:p>
      <w:pPr>
        <w:spacing w:after="40"/>
      </w:pPr>
    </w:p>
    <w:p>
      <w:pPr>
        <w:pStyle w:val="Heading2"/>
      </w:pPr>
      <w:r>
        <w:t>What we found</w:t>
      </w:r>
    </w:p>
    <w:p>
      <w:pPr>
        <w:pStyle w:val="ListBullet"/>
      </w:pPr>
      <w:r>
        <w:t>Profit is concentrated: 5 of 15 products deliver 80% of profit, and 5 of them are Chocolate. The Chocolate division provides 93% of revenue.</w:t>
      </w:r>
    </w:p>
    <w:p>
      <w:pPr>
        <w:pStyle w:val="ListBullet"/>
      </w:pPr>
      <w:r>
        <w:t>Kazookles has the weakest margin (7.7%); manufacturing cost takes 92% of its sales.</w:t>
      </w:r>
    </w:p>
    <w:p>
      <w:pPr>
        <w:pStyle w:val="ListBullet"/>
      </w:pPr>
      <w:r>
        <w:t>The Other division earns 44.8% margin versus 65.9% company-wide.</w:t>
      </w:r>
    </w:p>
    <w:p>
      <w:pPr>
        <w:pStyle w:val="ListBullet"/>
      </w:pPr>
      <w:r>
        <w:t>6 products sold under $100 each; their low profit is mainly a volume issue.</w:t>
      </w:r>
    </w:p>
    <w:p>
      <w:pPr>
        <w:pStyle w:val="Heading2"/>
      </w:pPr>
      <w:r>
        <w:t>Recommended actions</w:t>
      </w:r>
    </w:p>
    <w:p>
      <w:pPr>
        <w:pStyle w:val="ListNumber"/>
      </w:pPr>
      <w:r>
        <w:t>Protect supply and quality of the top products that generate most of the profit.</w:t>
      </w:r>
    </w:p>
    <w:p>
      <w:pPr>
        <w:pStyle w:val="ListNumber"/>
      </w:pPr>
      <w:r>
        <w:t>Reprice or renegotiate cost for Kazookles, and review the Other division product by product.</w:t>
      </w:r>
    </w:p>
    <w:p>
      <w:pPr>
        <w:pStyle w:val="ListNumber"/>
      </w:pPr>
      <w:r>
        <w:t>Reduce dependency on a few products by growing mid-performing items.</w:t>
      </w:r>
    </w:p>
    <w:p>
      <w:pPr>
        <w:pStyle w:val="ListNumber"/>
      </w:pPr>
      <w:r>
        <w:t>Decide whether to promote or rationalise low-volume products.</w:t>
      </w:r>
    </w:p>
    <w:p>
      <w:pPr>
        <w:pStyle w:val="ListNumber"/>
      </w:pPr>
      <w:r>
        <w:t>Track margins monthly in the live dashboard, using a margin threshold to catch problems early.</w:t>
      </w:r>
    </w:p>
    <w:p>
      <w:r>
        <w:rPr>
          <w:b w:val="0"/>
          <w:i/>
          <w:color w:val="555555"/>
          <w:sz w:val="18"/>
        </w:rPr>
        <w:t>Details, charts and limitations are in the full research paper. Figures cover gross profit only (Sales minus manufacturing cost).</w:t>
      </w:r>
    </w:p>
    <w:sectPr w:rsidR="00FC693F" w:rsidRPr="0006063C" w:rsidSect="00034616">
      <w:pgSz w:w="12240" w:h="15840"/>
      <w:pgMar w:top="1008" w:right="1440" w:bottom="1008"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Calibri" w:hAnsi="Calibri"/>
      <w:b/>
      <w:bCs/>
      <w:color w:val="1F3A4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Calibri" w:hAnsi="Calibri"/>
      <w:b/>
      <w:bCs/>
      <w:color w:val="1F3A4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