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0D078E" w14:textId="39B7E6A1" w:rsidR="00D61099" w:rsidRPr="00CF0BA3" w:rsidRDefault="006659DF" w:rsidP="008C43BB">
      <w:pPr>
        <w:pStyle w:val="10"/>
        <w:keepNext/>
        <w:keepLines/>
        <w:spacing w:after="0"/>
        <w:jc w:val="both"/>
        <w:rPr>
          <w:sz w:val="20"/>
          <w:szCs w:val="20"/>
          <w:lang w:val="en-US"/>
        </w:rPr>
      </w:pPr>
      <w:bookmarkStart w:id="0" w:name="bookmark1"/>
      <w:bookmarkStart w:id="1" w:name="bookmark2"/>
      <w:bookmarkStart w:id="2" w:name="bookmark3"/>
      <w:r w:rsidRPr="008C43BB">
        <w:rPr>
          <w:sz w:val="20"/>
          <w:szCs w:val="20"/>
        </w:rPr>
        <w:t xml:space="preserve">Лабораторная работа </w:t>
      </w:r>
      <w:proofErr w:type="gramStart"/>
      <w:r w:rsidRPr="008C43BB">
        <w:rPr>
          <w:sz w:val="20"/>
          <w:szCs w:val="20"/>
        </w:rPr>
        <w:t>№  Моделирование</w:t>
      </w:r>
      <w:proofErr w:type="gramEnd"/>
      <w:r w:rsidRPr="008C43BB">
        <w:rPr>
          <w:sz w:val="20"/>
          <w:szCs w:val="20"/>
        </w:rPr>
        <w:t xml:space="preserve">  процессов</w:t>
      </w:r>
      <w:bookmarkEnd w:id="0"/>
      <w:bookmarkEnd w:id="1"/>
      <w:bookmarkEnd w:id="2"/>
      <w:r w:rsidR="00CF0BA3" w:rsidRPr="00CF0BA3">
        <w:rPr>
          <w:sz w:val="20"/>
          <w:szCs w:val="20"/>
        </w:rPr>
        <w:t xml:space="preserve">  </w:t>
      </w:r>
      <w:r w:rsidR="00CF0BA3">
        <w:rPr>
          <w:sz w:val="20"/>
          <w:szCs w:val="20"/>
          <w:lang w:val="en-US"/>
        </w:rPr>
        <w:t xml:space="preserve"> </w:t>
      </w:r>
    </w:p>
    <w:p w14:paraId="77E7C73F" w14:textId="77777777" w:rsidR="00D61099" w:rsidRPr="008C43BB" w:rsidRDefault="006659DF" w:rsidP="008C43BB">
      <w:pPr>
        <w:pStyle w:val="22"/>
        <w:spacing w:after="0"/>
        <w:jc w:val="both"/>
        <w:rPr>
          <w:sz w:val="20"/>
          <w:szCs w:val="20"/>
        </w:rPr>
      </w:pPr>
      <w:r w:rsidRPr="008C43BB">
        <w:rPr>
          <w:b/>
          <w:bCs/>
          <w:sz w:val="20"/>
          <w:szCs w:val="20"/>
        </w:rPr>
        <w:t xml:space="preserve">Цель работы: </w:t>
      </w:r>
      <w:r w:rsidRPr="008C43BB">
        <w:rPr>
          <w:sz w:val="20"/>
          <w:szCs w:val="20"/>
        </w:rPr>
        <w:t>Освоение основных концепций моделирования с использованием BPMN.</w:t>
      </w:r>
    </w:p>
    <w:p w14:paraId="11D3B50D" w14:textId="0752F72B" w:rsidR="00D61099" w:rsidRPr="008C43BB" w:rsidRDefault="006659DF" w:rsidP="008C43BB">
      <w:pPr>
        <w:pStyle w:val="11"/>
        <w:spacing w:after="0"/>
        <w:jc w:val="both"/>
        <w:rPr>
          <w:sz w:val="20"/>
          <w:szCs w:val="20"/>
        </w:rPr>
      </w:pPr>
      <w:r w:rsidRPr="008C43BB">
        <w:rPr>
          <w:b/>
          <w:bCs/>
          <w:sz w:val="20"/>
          <w:szCs w:val="20"/>
        </w:rPr>
        <w:t xml:space="preserve">Задание: </w:t>
      </w:r>
      <w:r w:rsidRPr="008C43BB">
        <w:rPr>
          <w:sz w:val="20"/>
          <w:szCs w:val="20"/>
        </w:rPr>
        <w:t xml:space="preserve">Используя </w:t>
      </w:r>
      <w:proofErr w:type="spellStart"/>
      <w:r w:rsidR="00BE640F" w:rsidRPr="008C43BB">
        <w:rPr>
          <w:sz w:val="20"/>
          <w:szCs w:val="20"/>
          <w:lang w:val="en-US"/>
        </w:rPr>
        <w:t>Diagrameditor</w:t>
      </w:r>
      <w:proofErr w:type="spellEnd"/>
      <w:r w:rsidR="00BE640F" w:rsidRPr="008C43BB">
        <w:rPr>
          <w:sz w:val="20"/>
          <w:szCs w:val="20"/>
        </w:rPr>
        <w:t>.</w:t>
      </w:r>
      <w:r w:rsidR="00BE640F" w:rsidRPr="008C43BB">
        <w:rPr>
          <w:sz w:val="20"/>
          <w:szCs w:val="20"/>
          <w:lang w:val="en-US"/>
        </w:rPr>
        <w:t>com</w:t>
      </w:r>
      <w:r w:rsidR="00BE640F" w:rsidRPr="008C43BB">
        <w:rPr>
          <w:sz w:val="20"/>
          <w:szCs w:val="20"/>
        </w:rPr>
        <w:t xml:space="preserve"> или иные программные продукты</w:t>
      </w:r>
      <w:r w:rsidRPr="008C43BB">
        <w:rPr>
          <w:sz w:val="20"/>
          <w:szCs w:val="20"/>
        </w:rPr>
        <w:t>, постройте диаграммы на русском языке.</w:t>
      </w:r>
    </w:p>
    <w:p w14:paraId="01D55C43" w14:textId="5F1789E6" w:rsidR="00D61099" w:rsidRPr="00CF0BA3" w:rsidRDefault="006659DF" w:rsidP="008C43BB">
      <w:pPr>
        <w:pStyle w:val="a7"/>
        <w:jc w:val="both"/>
        <w:rPr>
          <w:sz w:val="20"/>
          <w:szCs w:val="20"/>
        </w:rPr>
      </w:pPr>
      <w:r w:rsidRPr="008C43BB">
        <w:rPr>
          <w:b/>
          <w:bCs/>
          <w:sz w:val="20"/>
          <w:szCs w:val="20"/>
        </w:rPr>
        <w:t xml:space="preserve">Упражнение 1. </w:t>
      </w:r>
      <w:r w:rsidRPr="008C43BB">
        <w:rPr>
          <w:sz w:val="20"/>
          <w:szCs w:val="20"/>
        </w:rPr>
        <w:t>Продажа аппаратуры: подготовка товара для пересылки.</w:t>
      </w:r>
      <w:r w:rsidR="00CF0BA3" w:rsidRPr="00CF0BA3">
        <w:rPr>
          <w:sz w:val="20"/>
          <w:szCs w:val="20"/>
        </w:rPr>
        <w:t xml:space="preserve"> </w:t>
      </w:r>
    </w:p>
    <w:p w14:paraId="71413414" w14:textId="44FB5EBB" w:rsidR="00D61099" w:rsidRPr="008C43BB" w:rsidRDefault="00E109F0" w:rsidP="008C43BB">
      <w:pPr>
        <w:jc w:val="both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6DF2E3" wp14:editId="38E5632B">
                <wp:simplePos x="0" y="0"/>
                <wp:positionH relativeFrom="column">
                  <wp:posOffset>3076537</wp:posOffset>
                </wp:positionH>
                <wp:positionV relativeFrom="paragraph">
                  <wp:posOffset>1052953</wp:posOffset>
                </wp:positionV>
                <wp:extent cx="914400" cy="914400"/>
                <wp:effectExtent l="0" t="0" r="12065" b="19050"/>
                <wp:wrapNone/>
                <wp:docPr id="1058328627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A728224" w14:textId="7DCCD514" w:rsidR="00E109F0" w:rsidRPr="00E109F0" w:rsidRDefault="00E109F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E109F0">
                              <w:rPr>
                                <w:sz w:val="32"/>
                                <w:szCs w:val="32"/>
                              </w:rPr>
                              <w:t xml:space="preserve">ПРОДОЛЖИ ДИАГРАММУ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A6DF2E3" id="_x0000_t202" coordsize="21600,21600" o:spt="202" path="m,l,21600r21600,l21600,xe">
                <v:stroke joinstyle="miter"/>
                <v:path gradientshapeok="t" o:connecttype="rect"/>
              </v:shapetype>
              <v:shape id="Надпись 3" o:spid="_x0000_s1026" type="#_x0000_t202" style="position:absolute;left:0;text-align:left;margin-left:242.25pt;margin-top:82.9pt;width:1in;height:1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" fillcolor="white [3201]" strokecolor="white [3212]" strokeweight=".5pt">
                <v:textbox>
                  <w:txbxContent>
                    <w:p w14:paraId="5A728224" w14:textId="7DCCD514" w:rsidR="00E109F0" w:rsidRPr="00E109F0" w:rsidRDefault="00E109F0">
                      <w:pPr>
                        <w:rPr>
                          <w:sz w:val="32"/>
                          <w:szCs w:val="32"/>
                        </w:rPr>
                      </w:pPr>
                      <w:r w:rsidRPr="00E109F0">
                        <w:rPr>
                          <w:sz w:val="32"/>
                          <w:szCs w:val="32"/>
                        </w:rPr>
                        <w:t xml:space="preserve">ПРОДОЛЖИ ДИАГРАММУ </w:t>
                      </w:r>
                    </w:p>
                  </w:txbxContent>
                </v:textbox>
              </v:shape>
            </w:pict>
          </mc:Fallback>
        </mc:AlternateContent>
      </w:r>
      <w:r w:rsidR="00CF0BA3">
        <w:rPr>
          <w:noProof/>
          <w:sz w:val="20"/>
          <w:szCs w:val="20"/>
        </w:rPr>
        <w:drawing>
          <wp:inline distT="0" distB="0" distL="0" distR="0" wp14:anchorId="3C27298E" wp14:editId="1C8582E7">
            <wp:extent cx="2456815" cy="3275330"/>
            <wp:effectExtent l="0" t="0" r="635" b="1270"/>
            <wp:docPr id="153877027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6815" cy="327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7D6E1" w14:textId="145F390A" w:rsidR="00D61099" w:rsidRPr="00CF0BA3" w:rsidRDefault="00D61099" w:rsidP="008C43BB">
      <w:pPr>
        <w:pStyle w:val="a7"/>
        <w:jc w:val="both"/>
        <w:rPr>
          <w:sz w:val="20"/>
          <w:szCs w:val="20"/>
        </w:rPr>
      </w:pPr>
    </w:p>
    <w:p w14:paraId="297B70FF" w14:textId="77777777" w:rsidR="00D61099" w:rsidRPr="00CF0BA3" w:rsidRDefault="00D61099" w:rsidP="008C43BB">
      <w:pPr>
        <w:spacing w:line="1" w:lineRule="exact"/>
        <w:jc w:val="both"/>
        <w:rPr>
          <w:sz w:val="20"/>
          <w:szCs w:val="20"/>
        </w:rPr>
      </w:pPr>
    </w:p>
    <w:p w14:paraId="5381A72F" w14:textId="0A4F75CF" w:rsidR="00D61099" w:rsidRPr="008C43BB" w:rsidRDefault="006659DF" w:rsidP="008C43BB">
      <w:pPr>
        <w:pStyle w:val="11"/>
        <w:spacing w:after="0"/>
        <w:jc w:val="both"/>
        <w:rPr>
          <w:sz w:val="20"/>
          <w:szCs w:val="20"/>
        </w:rPr>
      </w:pPr>
      <w:r w:rsidRPr="008C43BB">
        <w:rPr>
          <w:sz w:val="20"/>
          <w:szCs w:val="20"/>
        </w:rPr>
        <w:t>В данном процессе используется только один пул и только три линии для участников процесса: менеджера логистики, клерка и кладовщика. При этом мы не рассматриваем явно коммуникацию между участниками.</w:t>
      </w:r>
      <w:r w:rsidR="00BE640F" w:rsidRPr="008C43BB">
        <w:rPr>
          <w:sz w:val="20"/>
          <w:szCs w:val="20"/>
        </w:rPr>
        <w:t xml:space="preserve"> </w:t>
      </w:r>
    </w:p>
    <w:p w14:paraId="4708594D" w14:textId="42CC2174" w:rsidR="00D61099" w:rsidRPr="008C43BB" w:rsidRDefault="006659DF" w:rsidP="008C43BB">
      <w:pPr>
        <w:pStyle w:val="11"/>
        <w:spacing w:after="0"/>
        <w:jc w:val="both"/>
        <w:rPr>
          <w:sz w:val="20"/>
          <w:szCs w:val="20"/>
        </w:rPr>
      </w:pPr>
      <w:r w:rsidRPr="008C43BB">
        <w:rPr>
          <w:sz w:val="20"/>
          <w:szCs w:val="20"/>
        </w:rPr>
        <w:t>Простое стартовое событие «</w:t>
      </w:r>
      <w:r w:rsidR="00BE640F" w:rsidRPr="008C43BB">
        <w:rPr>
          <w:sz w:val="20"/>
          <w:szCs w:val="20"/>
        </w:rPr>
        <w:t>товар для отправки</w:t>
      </w:r>
      <w:r w:rsidRPr="008C43BB">
        <w:rPr>
          <w:sz w:val="20"/>
          <w:szCs w:val="20"/>
        </w:rPr>
        <w:t>» указывает начало процесса. Сразу после инициализации процесса параллельный шлюз начинает две параллельных операции: пока клерк решает какой тип пересылки применить (обычный или специальный), кладовщик начинает упаковку товара. Задача клерка приводит к исключающему шлюзу «</w:t>
      </w:r>
      <w:r w:rsidR="00BE640F" w:rsidRPr="008C43BB">
        <w:rPr>
          <w:sz w:val="20"/>
          <w:szCs w:val="20"/>
        </w:rPr>
        <w:t>тип доставки</w:t>
      </w:r>
      <w:r w:rsidRPr="008C43BB">
        <w:rPr>
          <w:sz w:val="20"/>
          <w:szCs w:val="20"/>
        </w:rPr>
        <w:t>», что является хорошим примером рекомендуемого использования шлюзов: шлюз не является ответ</w:t>
      </w:r>
      <w:r w:rsidR="00BE640F" w:rsidRPr="008C43BB">
        <w:rPr>
          <w:sz w:val="20"/>
          <w:szCs w:val="20"/>
        </w:rPr>
        <w:t>ст</w:t>
      </w:r>
      <w:r w:rsidRPr="008C43BB">
        <w:rPr>
          <w:sz w:val="20"/>
          <w:szCs w:val="20"/>
        </w:rPr>
        <w:t>венным за принятие решения о типе пересылки, - это решение принимается во время предыдущей активности. Шлюз же выполняет только функцию маршрутизации, перенаправляя поток по альтернати</w:t>
      </w:r>
      <w:r w:rsidR="00A82A05" w:rsidRPr="008C43BB">
        <w:rPr>
          <w:sz w:val="20"/>
          <w:szCs w:val="20"/>
        </w:rPr>
        <w:t>в</w:t>
      </w:r>
      <w:r w:rsidRPr="008C43BB">
        <w:rPr>
          <w:sz w:val="20"/>
          <w:szCs w:val="20"/>
        </w:rPr>
        <w:t>ным путям в зависимости от результатов предыдущи</w:t>
      </w:r>
      <w:r w:rsidR="00A82A05" w:rsidRPr="008C43BB">
        <w:rPr>
          <w:sz w:val="20"/>
          <w:szCs w:val="20"/>
        </w:rPr>
        <w:t>х результатов.</w:t>
      </w:r>
    </w:p>
    <w:p w14:paraId="2656B8AA" w14:textId="77777777" w:rsidR="00D61099" w:rsidRPr="008C43BB" w:rsidRDefault="006659DF" w:rsidP="008C43BB">
      <w:pPr>
        <w:pStyle w:val="11"/>
        <w:spacing w:after="0"/>
        <w:jc w:val="both"/>
        <w:rPr>
          <w:sz w:val="20"/>
          <w:szCs w:val="20"/>
        </w:rPr>
      </w:pPr>
      <w:r w:rsidRPr="008C43BB">
        <w:rPr>
          <w:sz w:val="20"/>
          <w:szCs w:val="20"/>
        </w:rPr>
        <w:t>Этот шлюз называется исключающим, поскольку две альтернативные ветви выглядят так: если это специальная пересылка, то клерк запрашивает различные перевозчики и выбрав перевозчика начинает оформление документов; но если это обычная пересылка, то клерку может потребоваться дополнительное страхование товара — этим должен заниматься менеджер логистики.</w:t>
      </w:r>
    </w:p>
    <w:p w14:paraId="67F7157E" w14:textId="0C017811" w:rsidR="00D61099" w:rsidRPr="008C43BB" w:rsidRDefault="006659DF" w:rsidP="008C43BB">
      <w:pPr>
        <w:pStyle w:val="11"/>
        <w:spacing w:after="0"/>
        <w:jc w:val="both"/>
        <w:rPr>
          <w:sz w:val="20"/>
          <w:szCs w:val="20"/>
        </w:rPr>
      </w:pPr>
      <w:r w:rsidRPr="008C43BB">
        <w:rPr>
          <w:sz w:val="20"/>
          <w:szCs w:val="20"/>
        </w:rPr>
        <w:t>В любом случае клерк должен подготовить почтовый ярлык для посылки. В таком сценарии оказывается полезным включающий шлюз, поскольку одна из ветвей выполняется всегда, а другая только при необходимости дополнительной страховки - тогда обе ветви выполняются параллельно. Из-за этого параллелизма мы должны синхронизировать включающий шлюз сразу после «</w:t>
      </w:r>
      <w:r w:rsidR="00BE640F" w:rsidRPr="008C43BB">
        <w:rPr>
          <w:sz w:val="20"/>
          <w:szCs w:val="20"/>
        </w:rPr>
        <w:t>заполнения почтового ярлыка</w:t>
      </w:r>
      <w:r w:rsidRPr="008C43BB">
        <w:rPr>
          <w:sz w:val="20"/>
          <w:szCs w:val="20"/>
        </w:rPr>
        <w:t>»  и «</w:t>
      </w:r>
      <w:r w:rsidR="00BE640F" w:rsidRPr="008C43BB">
        <w:rPr>
          <w:sz w:val="20"/>
          <w:szCs w:val="20"/>
        </w:rPr>
        <w:t>получения дополнительной страховки»</w:t>
      </w:r>
      <w:r w:rsidRPr="008C43BB">
        <w:rPr>
          <w:sz w:val="20"/>
          <w:szCs w:val="20"/>
        </w:rPr>
        <w:t>. При этом включающий шлюз будет всегда ожидать завершения «</w:t>
      </w:r>
      <w:r w:rsidR="00BE640F" w:rsidRPr="008C43BB">
        <w:rPr>
          <w:sz w:val="20"/>
          <w:szCs w:val="20"/>
        </w:rPr>
        <w:t>заполнения почтового ярлыка</w:t>
      </w:r>
      <w:r w:rsidRPr="008C43BB">
        <w:rPr>
          <w:sz w:val="20"/>
          <w:szCs w:val="20"/>
        </w:rPr>
        <w:t>», которое обязательно всегда выполняется. Только при необходимости дополнительной страховки шлюз ожидает завершения «</w:t>
      </w:r>
      <w:r w:rsidR="00BE640F" w:rsidRPr="008C43BB">
        <w:rPr>
          <w:sz w:val="20"/>
          <w:szCs w:val="20"/>
        </w:rPr>
        <w:t>получения дополнительной страховки</w:t>
      </w:r>
      <w:r w:rsidRPr="008C43BB">
        <w:rPr>
          <w:sz w:val="20"/>
          <w:szCs w:val="20"/>
        </w:rPr>
        <w:t>».</w:t>
      </w:r>
    </w:p>
    <w:p w14:paraId="0D006469" w14:textId="77777777" w:rsidR="00D61099" w:rsidRPr="008C43BB" w:rsidRDefault="006659DF" w:rsidP="008C43BB">
      <w:pPr>
        <w:pStyle w:val="11"/>
        <w:spacing w:after="0"/>
        <w:jc w:val="both"/>
        <w:rPr>
          <w:sz w:val="20"/>
          <w:szCs w:val="20"/>
        </w:rPr>
      </w:pPr>
      <w:r w:rsidRPr="008C43BB">
        <w:rPr>
          <w:sz w:val="20"/>
          <w:szCs w:val="20"/>
        </w:rPr>
        <w:t>Кроме того, мы должны синхронизировать параллельный шлюз до начала последнего задания «</w:t>
      </w:r>
      <w:proofErr w:type="spellStart"/>
      <w:r w:rsidRPr="008C43BB">
        <w:rPr>
          <w:sz w:val="20"/>
          <w:szCs w:val="20"/>
        </w:rPr>
        <w:t>add</w:t>
      </w:r>
      <w:proofErr w:type="spellEnd"/>
      <w:r w:rsidRPr="008C43BB">
        <w:rPr>
          <w:sz w:val="20"/>
          <w:szCs w:val="20"/>
        </w:rPr>
        <w:t xml:space="preserve"> </w:t>
      </w:r>
      <w:proofErr w:type="spellStart"/>
      <w:r w:rsidRPr="008C43BB">
        <w:rPr>
          <w:sz w:val="20"/>
          <w:szCs w:val="20"/>
        </w:rPr>
        <w:t>paperwork</w:t>
      </w:r>
      <w:proofErr w:type="spellEnd"/>
      <w:r w:rsidRPr="008C43BB">
        <w:rPr>
          <w:sz w:val="20"/>
          <w:szCs w:val="20"/>
        </w:rPr>
        <w:t xml:space="preserve"> </w:t>
      </w:r>
      <w:proofErr w:type="spellStart"/>
      <w:r w:rsidRPr="008C43BB">
        <w:rPr>
          <w:sz w:val="20"/>
          <w:szCs w:val="20"/>
        </w:rPr>
        <w:t>and</w:t>
      </w:r>
      <w:proofErr w:type="spellEnd"/>
      <w:r w:rsidRPr="008C43BB">
        <w:rPr>
          <w:sz w:val="20"/>
          <w:szCs w:val="20"/>
        </w:rPr>
        <w:t xml:space="preserve"> </w:t>
      </w:r>
      <w:proofErr w:type="spellStart"/>
      <w:r w:rsidRPr="008C43BB">
        <w:rPr>
          <w:sz w:val="20"/>
          <w:szCs w:val="20"/>
        </w:rPr>
        <w:t>move</w:t>
      </w:r>
      <w:proofErr w:type="spellEnd"/>
      <w:r w:rsidRPr="008C43BB">
        <w:rPr>
          <w:sz w:val="20"/>
          <w:szCs w:val="20"/>
        </w:rPr>
        <w:t xml:space="preserve"> </w:t>
      </w:r>
      <w:proofErr w:type="spellStart"/>
      <w:r w:rsidRPr="008C43BB">
        <w:rPr>
          <w:sz w:val="20"/>
          <w:szCs w:val="20"/>
        </w:rPr>
        <w:t>package</w:t>
      </w:r>
      <w:proofErr w:type="spellEnd"/>
      <w:r w:rsidRPr="008C43BB">
        <w:rPr>
          <w:sz w:val="20"/>
          <w:szCs w:val="20"/>
        </w:rPr>
        <w:t xml:space="preserve"> </w:t>
      </w:r>
      <w:proofErr w:type="spellStart"/>
      <w:r w:rsidRPr="008C43BB">
        <w:rPr>
          <w:sz w:val="20"/>
          <w:szCs w:val="20"/>
        </w:rPr>
        <w:t>to</w:t>
      </w:r>
      <w:proofErr w:type="spellEnd"/>
      <w:r w:rsidRPr="008C43BB">
        <w:rPr>
          <w:sz w:val="20"/>
          <w:szCs w:val="20"/>
        </w:rPr>
        <w:t xml:space="preserve"> </w:t>
      </w:r>
      <w:proofErr w:type="spellStart"/>
      <w:r w:rsidRPr="008C43BB">
        <w:rPr>
          <w:sz w:val="20"/>
          <w:szCs w:val="20"/>
        </w:rPr>
        <w:t>pick</w:t>
      </w:r>
      <w:proofErr w:type="spellEnd"/>
      <w:r w:rsidRPr="008C43BB">
        <w:rPr>
          <w:sz w:val="20"/>
          <w:szCs w:val="20"/>
        </w:rPr>
        <w:t xml:space="preserve"> </w:t>
      </w:r>
      <w:proofErr w:type="spellStart"/>
      <w:r w:rsidRPr="008C43BB">
        <w:rPr>
          <w:sz w:val="20"/>
          <w:szCs w:val="20"/>
        </w:rPr>
        <w:t>area</w:t>
      </w:r>
      <w:proofErr w:type="spellEnd"/>
      <w:r w:rsidRPr="008C43BB">
        <w:rPr>
          <w:sz w:val="20"/>
          <w:szCs w:val="20"/>
        </w:rPr>
        <w:t>», поскольку мы должны быть уверены, что все выполнено до конца перед отправкой товара.</w:t>
      </w:r>
    </w:p>
    <w:p w14:paraId="4BEAF081" w14:textId="77777777" w:rsidR="008C43BB" w:rsidRDefault="008C43BB">
      <w:pPr>
        <w:pStyle w:val="a7"/>
        <w:ind w:left="58"/>
        <w:rPr>
          <w:b/>
          <w:bCs/>
        </w:rPr>
      </w:pPr>
    </w:p>
    <w:p w14:paraId="5C4A25F0" w14:textId="77777777" w:rsidR="008C43BB" w:rsidRDefault="008C43BB">
      <w:pPr>
        <w:pStyle w:val="a7"/>
        <w:ind w:left="58"/>
        <w:rPr>
          <w:b/>
          <w:bCs/>
        </w:rPr>
      </w:pPr>
    </w:p>
    <w:p w14:paraId="0DA7A68F" w14:textId="77777777" w:rsidR="008C43BB" w:rsidRDefault="008C43BB">
      <w:pPr>
        <w:pStyle w:val="a7"/>
        <w:ind w:left="58"/>
        <w:rPr>
          <w:b/>
          <w:bCs/>
        </w:rPr>
      </w:pPr>
    </w:p>
    <w:sectPr w:rsidR="008C43BB" w:rsidSect="008C43BB">
      <w:headerReference w:type="default" r:id="rId7"/>
      <w:footerReference w:type="default" r:id="rId8"/>
      <w:footnotePr>
        <w:numFmt w:val="upperRoman"/>
      </w:footnotePr>
      <w:pgSz w:w="12240" w:h="15840"/>
      <w:pgMar w:top="426" w:right="1135" w:bottom="426" w:left="1087" w:header="0" w:footer="3" w:gutter="0"/>
      <w:cols w:space="720"/>
      <w:noEndnote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9B4938" w14:textId="77777777" w:rsidR="002B5AA2" w:rsidRDefault="002B5AA2">
      <w:r>
        <w:separator/>
      </w:r>
    </w:p>
  </w:endnote>
  <w:endnote w:type="continuationSeparator" w:id="0">
    <w:p w14:paraId="34CD25FC" w14:textId="77777777" w:rsidR="002B5AA2" w:rsidRDefault="002B5A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1CFA62" w14:textId="5FC24B48" w:rsidR="00D61099" w:rsidRDefault="00D61099">
    <w:pPr>
      <w:spacing w:line="1" w:lineRule="exac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F18F82" w14:textId="77777777" w:rsidR="002B5AA2" w:rsidRDefault="002B5AA2">
      <w:r>
        <w:separator/>
      </w:r>
    </w:p>
  </w:footnote>
  <w:footnote w:type="continuationSeparator" w:id="0">
    <w:p w14:paraId="0CFC391F" w14:textId="77777777" w:rsidR="002B5AA2" w:rsidRDefault="002B5A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620D89" w14:textId="45C97A0D" w:rsidR="00D61099" w:rsidRDefault="00D61099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drawingGridHorizontalSpacing w:val="181"/>
  <w:drawingGridVerticalSpacing w:val="181"/>
  <w:characterSpacingControl w:val="compressPunctuation"/>
  <w:hdrShapeDefaults>
    <o:shapedefaults v:ext="edit" spidmax="2050"/>
  </w:hdrShapeDefaults>
  <w:footnotePr>
    <w:numFmt w:val="upperRoman"/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1099"/>
    <w:rsid w:val="002B5AA2"/>
    <w:rsid w:val="00503EBD"/>
    <w:rsid w:val="006659DF"/>
    <w:rsid w:val="008C43BB"/>
    <w:rsid w:val="00930D46"/>
    <w:rsid w:val="00A82A05"/>
    <w:rsid w:val="00B732EC"/>
    <w:rsid w:val="00BE640F"/>
    <w:rsid w:val="00CF0BA3"/>
    <w:rsid w:val="00D61099"/>
    <w:rsid w:val="00E109F0"/>
    <w:rsid w:val="00E24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32EABE"/>
  <w15:docId w15:val="{8EF42B3C-4947-49CD-9A85-749421108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urier New" w:eastAsia="Courier New" w:hAnsi="Courier New" w:cs="Courier New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Сноска_"/>
    <w:basedOn w:val="a0"/>
    <w:link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shd w:val="clear" w:color="auto" w:fill="auto"/>
    </w:rPr>
  </w:style>
  <w:style w:type="character" w:customStyle="1" w:styleId="1">
    <w:name w:val="Заголовок №1_"/>
    <w:basedOn w:val="a0"/>
    <w:link w:val="10"/>
    <w:rPr>
      <w:rFonts w:ascii="Arial" w:eastAsia="Arial" w:hAnsi="Arial" w:cs="Arial"/>
      <w:b/>
      <w:bCs/>
      <w:i w:val="0"/>
      <w:iCs w:val="0"/>
      <w:smallCaps w:val="0"/>
      <w:strike w:val="0"/>
      <w:sz w:val="22"/>
      <w:szCs w:val="22"/>
      <w:u w:val="none"/>
      <w:shd w:val="clear" w:color="auto" w:fill="auto"/>
    </w:rPr>
  </w:style>
  <w:style w:type="character" w:customStyle="1" w:styleId="2">
    <w:name w:val="Колонтитул (2)_"/>
    <w:basedOn w:val="a0"/>
    <w:link w:val="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</w:rPr>
  </w:style>
  <w:style w:type="character" w:customStyle="1" w:styleId="21">
    <w:name w:val="Основной текст (2)_"/>
    <w:basedOn w:val="a0"/>
    <w:link w:val="22"/>
    <w:rPr>
      <w:rFonts w:ascii="Book Antiqua" w:eastAsia="Book Antiqua" w:hAnsi="Book Antiqua" w:cs="Book Antiqua"/>
      <w:b w:val="0"/>
      <w:bCs w:val="0"/>
      <w:i w:val="0"/>
      <w:iCs w:val="0"/>
      <w:smallCaps w:val="0"/>
      <w:strike w:val="0"/>
      <w:u w:val="none"/>
      <w:shd w:val="clear" w:color="auto" w:fill="auto"/>
    </w:rPr>
  </w:style>
  <w:style w:type="character" w:customStyle="1" w:styleId="a5">
    <w:name w:val="Основной текст_"/>
    <w:basedOn w:val="a0"/>
    <w:link w:val="1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shd w:val="clear" w:color="auto" w:fill="auto"/>
    </w:rPr>
  </w:style>
  <w:style w:type="character" w:customStyle="1" w:styleId="a6">
    <w:name w:val="Подпись к картинке_"/>
    <w:basedOn w:val="a0"/>
    <w:link w:val="a7"/>
    <w:rPr>
      <w:rFonts w:ascii="Book Antiqua" w:eastAsia="Book Antiqua" w:hAnsi="Book Antiqua" w:cs="Book Antiqua"/>
      <w:b w:val="0"/>
      <w:bCs w:val="0"/>
      <w:i w:val="0"/>
      <w:iCs w:val="0"/>
      <w:smallCaps w:val="0"/>
      <w:strike w:val="0"/>
      <w:u w:val="none"/>
      <w:shd w:val="clear" w:color="auto" w:fill="auto"/>
    </w:rPr>
  </w:style>
  <w:style w:type="character" w:customStyle="1" w:styleId="3">
    <w:name w:val="Основной текст (3)_"/>
    <w:basedOn w:val="a0"/>
    <w:link w:val="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</w:rPr>
  </w:style>
  <w:style w:type="paragraph" w:customStyle="1" w:styleId="a4">
    <w:name w:val="Сноска"/>
    <w:basedOn w:val="a"/>
    <w:link w:val="a3"/>
    <w:pPr>
      <w:spacing w:line="305" w:lineRule="auto"/>
    </w:pPr>
    <w:rPr>
      <w:rFonts w:ascii="Times New Roman" w:eastAsia="Times New Roman" w:hAnsi="Times New Roman" w:cs="Times New Roman"/>
    </w:rPr>
  </w:style>
  <w:style w:type="paragraph" w:customStyle="1" w:styleId="10">
    <w:name w:val="Заголовок №1"/>
    <w:basedOn w:val="a"/>
    <w:link w:val="1"/>
    <w:pPr>
      <w:spacing w:after="380"/>
      <w:outlineLvl w:val="0"/>
    </w:pPr>
    <w:rPr>
      <w:rFonts w:ascii="Arial" w:eastAsia="Arial" w:hAnsi="Arial" w:cs="Arial"/>
      <w:b/>
      <w:bCs/>
      <w:sz w:val="22"/>
      <w:szCs w:val="22"/>
    </w:rPr>
  </w:style>
  <w:style w:type="paragraph" w:customStyle="1" w:styleId="20">
    <w:name w:val="Колонтитул (2)"/>
    <w:basedOn w:val="a"/>
    <w:link w:val="2"/>
    <w:rPr>
      <w:rFonts w:ascii="Times New Roman" w:eastAsia="Times New Roman" w:hAnsi="Times New Roman" w:cs="Times New Roman"/>
      <w:sz w:val="20"/>
      <w:szCs w:val="20"/>
    </w:rPr>
  </w:style>
  <w:style w:type="paragraph" w:customStyle="1" w:styleId="22">
    <w:name w:val="Основной текст (2)"/>
    <w:basedOn w:val="a"/>
    <w:link w:val="21"/>
    <w:pPr>
      <w:spacing w:after="260"/>
    </w:pPr>
    <w:rPr>
      <w:rFonts w:ascii="Book Antiqua" w:eastAsia="Book Antiqua" w:hAnsi="Book Antiqua" w:cs="Book Antiqua"/>
    </w:rPr>
  </w:style>
  <w:style w:type="paragraph" w:customStyle="1" w:styleId="11">
    <w:name w:val="Основной текст1"/>
    <w:basedOn w:val="a"/>
    <w:link w:val="a5"/>
    <w:pPr>
      <w:spacing w:after="260"/>
    </w:pPr>
    <w:rPr>
      <w:rFonts w:ascii="Times New Roman" w:eastAsia="Times New Roman" w:hAnsi="Times New Roman" w:cs="Times New Roman"/>
    </w:rPr>
  </w:style>
  <w:style w:type="paragraph" w:customStyle="1" w:styleId="a7">
    <w:name w:val="Подпись к картинке"/>
    <w:basedOn w:val="a"/>
    <w:link w:val="a6"/>
    <w:rPr>
      <w:rFonts w:ascii="Book Antiqua" w:eastAsia="Book Antiqua" w:hAnsi="Book Antiqua" w:cs="Book Antiqua"/>
    </w:rPr>
  </w:style>
  <w:style w:type="paragraph" w:customStyle="1" w:styleId="30">
    <w:name w:val="Основной текст (3)"/>
    <w:basedOn w:val="a"/>
    <w:link w:val="3"/>
    <w:pPr>
      <w:spacing w:after="60" w:line="427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a8">
    <w:name w:val="header"/>
    <w:basedOn w:val="a"/>
    <w:link w:val="a9"/>
    <w:uiPriority w:val="99"/>
    <w:unhideWhenUsed/>
    <w:rsid w:val="00BE640F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BE640F"/>
    <w:rPr>
      <w:color w:val="000000"/>
    </w:rPr>
  </w:style>
  <w:style w:type="paragraph" w:styleId="aa">
    <w:name w:val="footer"/>
    <w:basedOn w:val="a"/>
    <w:link w:val="ab"/>
    <w:uiPriority w:val="99"/>
    <w:unhideWhenUsed/>
    <w:rsid w:val="00BE640F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BE640F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360</Words>
  <Characters>2054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TUF</dc:creator>
  <cp:lastModifiedBy>Пользователь</cp:lastModifiedBy>
  <cp:revision>2</cp:revision>
  <cp:lastPrinted>2021-11-29T04:01:00Z</cp:lastPrinted>
  <dcterms:created xsi:type="dcterms:W3CDTF">2023-12-05T04:28:00Z</dcterms:created>
  <dcterms:modified xsi:type="dcterms:W3CDTF">2023-12-05T04:28:00Z</dcterms:modified>
</cp:coreProperties>
</file>