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1B55F" w14:textId="2086FF7E" w:rsidR="00A86FD1" w:rsidRPr="001A3B53" w:rsidRDefault="00A86FD1" w:rsidP="00A86FD1">
      <w:pPr>
        <w:rPr>
          <w:b/>
          <w:bCs/>
          <w:color w:val="0070C0"/>
          <w:u w:val="single"/>
        </w:rPr>
      </w:pPr>
      <w:r w:rsidRPr="001A3B53">
        <w:rPr>
          <w:b/>
          <w:bCs/>
          <w:color w:val="0070C0"/>
          <w:u w:val="single"/>
        </w:rPr>
        <w:t>Mejoras restantes</w:t>
      </w:r>
    </w:p>
    <w:p w14:paraId="6B0A22D3" w14:textId="515FA363" w:rsidR="00A86FD1" w:rsidRDefault="00A86FD1" w:rsidP="00A86FD1">
      <w:pPr>
        <w:pStyle w:val="Prrafodelista"/>
        <w:numPr>
          <w:ilvl w:val="0"/>
          <w:numId w:val="1"/>
        </w:numPr>
      </w:pPr>
      <w:r>
        <w:t>Cotejar con subvenciones abiertas ahora mismo</w:t>
      </w:r>
    </w:p>
    <w:p w14:paraId="305F7372" w14:textId="46967705" w:rsidR="00A86FD1" w:rsidRDefault="00A86FD1" w:rsidP="00A86FD1">
      <w:pPr>
        <w:pStyle w:val="Prrafodelista"/>
        <w:numPr>
          <w:ilvl w:val="0"/>
          <w:numId w:val="1"/>
        </w:numPr>
      </w:pPr>
      <w:r>
        <w:t>Comprobar enlaces muertos.</w:t>
      </w:r>
    </w:p>
    <w:p w14:paraId="3D44144B" w14:textId="7B7EC185" w:rsidR="00A86FD1" w:rsidRPr="001A3B53" w:rsidRDefault="00A86FD1" w:rsidP="00A86FD1">
      <w:pPr>
        <w:rPr>
          <w:b/>
          <w:bCs/>
          <w:color w:val="0070C0"/>
          <w:u w:val="single"/>
        </w:rPr>
      </w:pPr>
      <w:r w:rsidRPr="001A3B53">
        <w:rPr>
          <w:b/>
          <w:bCs/>
          <w:color w:val="0070C0"/>
          <w:u w:val="single"/>
        </w:rPr>
        <w:t>Subvenciones encontradas manualmente</w:t>
      </w:r>
    </w:p>
    <w:p w14:paraId="2F436989" w14:textId="66E8EBF3" w:rsidR="00A86FD1" w:rsidRDefault="00A86FD1" w:rsidP="00A86FD1">
      <w:pPr>
        <w:pStyle w:val="Prrafodelista"/>
        <w:numPr>
          <w:ilvl w:val="0"/>
          <w:numId w:val="2"/>
        </w:numPr>
      </w:pPr>
      <w:r w:rsidRPr="00A86FD1">
        <w:t xml:space="preserve">Programma INNOVAE: </w:t>
      </w:r>
      <w:hyperlink r:id="rId5" w:history="1">
        <w:r w:rsidRPr="00541E01">
          <w:rPr>
            <w:rStyle w:val="Hipervnculo"/>
          </w:rPr>
          <w:t>https://www.idae.es/ayudas-y-financiacion/programa-innovae</w:t>
        </w:r>
      </w:hyperlink>
    </w:p>
    <w:p w14:paraId="21A3FAF3" w14:textId="522045AF" w:rsidR="00A27DEF" w:rsidRPr="00671549" w:rsidRDefault="00A27DEF" w:rsidP="00A86FD1">
      <w:pPr>
        <w:pStyle w:val="Prrafodelista"/>
        <w:numPr>
          <w:ilvl w:val="0"/>
          <w:numId w:val="2"/>
        </w:numPr>
        <w:rPr>
          <w:rStyle w:val="Hipervnculo"/>
          <w:color w:val="auto"/>
          <w:u w:val="none"/>
        </w:rPr>
      </w:pPr>
      <w:r w:rsidRPr="00A27DEF">
        <w:t>Ayudas para el fomento de inversiones productivas en tecnologías limpias y eficientes en el uso de los recursos</w:t>
      </w:r>
      <w:r>
        <w:t xml:space="preserve">: </w:t>
      </w:r>
      <w:hyperlink r:id="rId6" w:history="1">
        <w:r w:rsidRPr="00541E01">
          <w:rPr>
            <w:rStyle w:val="Hipervnculo"/>
          </w:rPr>
          <w:t>https://www.aragon.es/tramitador/-/tramite/ayudas-para-el-fomento-de-inversiones-productivas-en-tecnologias-limpias-y-eficientes-en-el-uso-de-los-recursos/convocatoria-2026</w:t>
        </w:r>
      </w:hyperlink>
    </w:p>
    <w:p w14:paraId="5481D55E" w14:textId="77777777" w:rsidR="00671549" w:rsidRDefault="00671549" w:rsidP="00671549">
      <w:pPr>
        <w:pStyle w:val="Prrafodelista"/>
        <w:numPr>
          <w:ilvl w:val="0"/>
          <w:numId w:val="2"/>
        </w:numPr>
      </w:pPr>
      <w:r>
        <w:t>Full-scale demonstration of heat upgrade solutions in industrial processes</w:t>
      </w:r>
    </w:p>
    <w:p w14:paraId="718D3B87" w14:textId="33CB3706" w:rsidR="00671549" w:rsidRPr="005A3C08" w:rsidRDefault="00671549" w:rsidP="00671549">
      <w:pPr>
        <w:pStyle w:val="Prrafodelista"/>
        <w:numPr>
          <w:ilvl w:val="0"/>
          <w:numId w:val="2"/>
        </w:numPr>
        <w:rPr>
          <w:rStyle w:val="Hipervnculo"/>
          <w:color w:val="auto"/>
          <w:u w:val="none"/>
        </w:rPr>
      </w:pPr>
      <w:r>
        <w:t xml:space="preserve">HORIZON-CL5-2026-09-D4-08: </w:t>
      </w:r>
      <w:hyperlink r:id="rId7" w:history="1">
        <w:r w:rsidRPr="00FE1707">
          <w:rPr>
            <w:rStyle w:val="Hipervnculo"/>
          </w:rPr>
          <w:t>https://ec.europa.eu/info/funding-tenders/opportunities/portal/screen/opportunities/topic-details/HORIZON-CL5-2026-09-D4-08</w:t>
        </w:r>
      </w:hyperlink>
    </w:p>
    <w:p w14:paraId="3376AA09" w14:textId="670535D5" w:rsidR="005A3C08" w:rsidRDefault="005A3C08" w:rsidP="005A3C08">
      <w:r>
        <w:t xml:space="preserve">Consultar como posible fuente de subvenciones: </w:t>
      </w:r>
      <w:hyperlink r:id="rId8" w:history="1">
        <w:r w:rsidRPr="00843EDC">
          <w:rPr>
            <w:rStyle w:val="Hipervnculo"/>
          </w:rPr>
          <w:t>https://www.ffplus-project.eu/</w:t>
        </w:r>
      </w:hyperlink>
    </w:p>
    <w:p w14:paraId="64D23A90" w14:textId="447E4396" w:rsidR="00A86FD1" w:rsidRPr="001A3B53" w:rsidRDefault="00B109E3" w:rsidP="00A86FD1">
      <w:pPr>
        <w:rPr>
          <w:color w:val="0070C0"/>
        </w:rPr>
      </w:pPr>
      <w:r w:rsidRPr="001A3B53">
        <w:rPr>
          <w:b/>
          <w:bCs/>
          <w:color w:val="0070C0"/>
          <w:u w:val="single"/>
        </w:rPr>
        <w:t xml:space="preserve">Recapitulación </w:t>
      </w:r>
      <w:r w:rsidR="001A3B53" w:rsidRPr="001A3B53">
        <w:rPr>
          <w:b/>
          <w:bCs/>
          <w:color w:val="0070C0"/>
          <w:u w:val="single"/>
        </w:rPr>
        <w:t>implementaciones</w:t>
      </w:r>
      <w:r w:rsidRPr="001A3B53">
        <w:rPr>
          <w:b/>
          <w:bCs/>
          <w:color w:val="0070C0"/>
          <w:u w:val="single"/>
        </w:rPr>
        <w:t xml:space="preserve"> </w:t>
      </w:r>
      <w:r w:rsidR="001A3B53" w:rsidRPr="001A3B53">
        <w:rPr>
          <w:b/>
          <w:bCs/>
          <w:color w:val="0070C0"/>
          <w:u w:val="single"/>
        </w:rPr>
        <w:t xml:space="preserve">asistidas </w:t>
      </w:r>
      <w:r w:rsidRPr="001A3B53">
        <w:rPr>
          <w:b/>
          <w:bCs/>
          <w:color w:val="0070C0"/>
          <w:u w:val="single"/>
        </w:rPr>
        <w:t>con Codex</w:t>
      </w:r>
      <w:r w:rsidRPr="001A3B53">
        <w:rPr>
          <w:color w:val="0070C0"/>
        </w:rPr>
        <w:t>:</w:t>
      </w:r>
    </w:p>
    <w:p w14:paraId="7D41DA38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Adaptación a Windows local</w:t>
      </w:r>
    </w:p>
    <w:p w14:paraId="625D8769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Eliminación del flujo específico de Google Colab y Google Drive.</w:t>
      </w:r>
    </w:p>
    <w:p w14:paraId="3920A4BB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Rutas construidas a partir de la ubicación del script.</w:t>
      </w:r>
    </w:p>
    <w:p w14:paraId="345C6EC1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Creación automática de grant_radar_data.</w:t>
      </w:r>
    </w:p>
    <w:p w14:paraId="5911AD44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Configuración UTF-8 de la consola.</w:t>
      </w:r>
    </w:p>
    <w:p w14:paraId="1630EAAA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Protección del punto de entrada mediante if __name__ == "__main__".</w:t>
      </w:r>
    </w:p>
    <w:p w14:paraId="420B1FA0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Arquitectura de adquisición híbrida</w:t>
      </w:r>
    </w:p>
    <w:p w14:paraId="3FC90894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APIs oficiales cuando están disponibles.</w:t>
      </w:r>
    </w:p>
    <w:p w14:paraId="1E5AEC3C" w14:textId="68692804" w:rsidR="001A3B53" w:rsidRDefault="001A3B53" w:rsidP="001A3B53">
      <w:pPr>
        <w:pStyle w:val="Prrafodelista"/>
        <w:numPr>
          <w:ilvl w:val="0"/>
          <w:numId w:val="5"/>
        </w:numPr>
      </w:pPr>
      <w:r>
        <w:t>Implementación de Playwright y Chromium para páginas dinámicas.</w:t>
      </w:r>
    </w:p>
    <w:p w14:paraId="212584CD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Catálogos estáticos solo como último respaldo.</w:t>
      </w:r>
    </w:p>
    <w:p w14:paraId="37647F7E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Una única sesión compartida de Chromium para reducir arranques redundantes.</w:t>
      </w:r>
    </w:p>
    <w:p w14:paraId="1D936DA3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Horizon Europe</w:t>
      </w:r>
    </w:p>
    <w:p w14:paraId="3BE1D8B6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Integración con la API oficial SEDIA.</w:t>
      </w:r>
    </w:p>
    <w:p w14:paraId="6243976E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Consulta temática mediante filtros enviados como multipart/form-data.</w:t>
      </w:r>
    </w:p>
    <w:p w14:paraId="56154494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Paginación por término de búsqueda.</w:t>
      </w:r>
    </w:p>
    <w:p w14:paraId="08F4D802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Deduplicación de documentos.</w:t>
      </w:r>
    </w:p>
    <w:p w14:paraId="340F69F8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Validación local del programa, estado y fechas.</w:t>
      </w:r>
    </w:p>
    <w:p w14:paraId="4E610D22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Descarte de registros cuyo estado aparecía abierto pero cuyos plazos estaban vencidos.</w:t>
      </w:r>
    </w:p>
    <w:p w14:paraId="7C41BA79" w14:textId="77777777" w:rsidR="001A3B53" w:rsidRDefault="001A3B53" w:rsidP="001A3B53">
      <w:pPr>
        <w:pStyle w:val="Prrafodelista"/>
        <w:numPr>
          <w:ilvl w:val="0"/>
          <w:numId w:val="5"/>
        </w:numPr>
      </w:pPr>
      <w:r>
        <w:t>Selección del primer plazo futuro cuando existen varias fechas.</w:t>
      </w:r>
    </w:p>
    <w:p w14:paraId="6F728530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CDTI</w:t>
      </w:r>
    </w:p>
    <w:p w14:paraId="176C84AB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Intento inicial de acceso estructurado a BDNS.</w:t>
      </w:r>
    </w:p>
    <w:p w14:paraId="392A474C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Detección de respuestas HTML no válidas como API JSON.</w:t>
      </w:r>
    </w:p>
    <w:p w14:paraId="25FE0AC6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Navegación dinámica mediante Playwright.</w:t>
      </w:r>
    </w:p>
    <w:p w14:paraId="1DF01171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lastRenderedPageBreak/>
        <w:t>Catálogo estático como respaldo cuando la fuente no ofrece información explotable.</w:t>
      </w:r>
    </w:p>
    <w:p w14:paraId="4BC3F422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IDAE</w:t>
      </w:r>
    </w:p>
    <w:p w14:paraId="37798E06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Navegación del listado mediante Playwright.</w:t>
      </w:r>
    </w:p>
    <w:p w14:paraId="4D4A5592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Visita de páginas de detalle para intentar obtener fechas.</w:t>
      </w:r>
    </w:p>
    <w:p w14:paraId="37C19044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Exclusión de documentos y convocatorias cerradas.</w:t>
      </w:r>
    </w:p>
    <w:p w14:paraId="17C84C75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Marcado explícito de fechas no confirmadas.</w:t>
      </w:r>
    </w:p>
    <w:p w14:paraId="35FB7F91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BOE/MITECO y BOA</w:t>
      </w:r>
    </w:p>
    <w:p w14:paraId="0C59B246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Adaptación del parser del BOE a la estructura real de bloques de resultados.</w:t>
      </w:r>
    </w:p>
    <w:p w14:paraId="6818DDAD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Navegación dinámica del BOA.</w:t>
      </w:r>
    </w:p>
    <w:p w14:paraId="1CFD232C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Respaldo estático cuando la búsqueda en vivo no devuelve resultados relevantes.</w:t>
      </w:r>
    </w:p>
    <w:p w14:paraId="10EE59A3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Control de convocatorias cerradas</w:t>
      </w:r>
    </w:p>
    <w:p w14:paraId="22F17EC2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Filtro defensivo global de deadline_days &lt;= 0.</w:t>
      </w:r>
    </w:p>
    <w:p w14:paraId="2598A953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Contadores ajustados para excluir plazos cerrados.</w:t>
      </w:r>
    </w:p>
    <w:p w14:paraId="6CA4AE9D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Registro detallado de los elementos descartados para diagnóstico.</w:t>
      </w:r>
    </w:p>
    <w:p w14:paraId="167566EE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Integración con Claude</w:t>
      </w:r>
    </w:p>
    <w:p w14:paraId="30FA656B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Prompt especializado en el perfil tecnológico de Kalfrisa.</w:t>
      </w:r>
    </w:p>
    <w:p w14:paraId="1111931D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Clasificación por puntuación, prioridad, TRL, consorcio, dimensiones y etiquetas.</w:t>
      </w:r>
    </w:p>
    <w:p w14:paraId="6A457FD2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Reintentos ante sobrecarga o limitación temporal.</w:t>
      </w:r>
    </w:p>
    <w:p w14:paraId="074595A7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Respuesta de respaldo cuando el servicio falla.</w:t>
      </w:r>
    </w:p>
    <w:p w14:paraId="138ACC89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Normalización determinista de nombres de entidades.</w:t>
      </w:r>
    </w:p>
    <w:p w14:paraId="6B9D453E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Caché de análisis</w:t>
      </w:r>
    </w:p>
    <w:p w14:paraId="0B7653C9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Sustitución de claves inestables por SHA-256.</w:t>
      </w:r>
    </w:p>
    <w:p w14:paraId="55790E06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Clave basada en versión del prompt, fuente, título normalizado y URL.</w:t>
      </w:r>
    </w:p>
    <w:p w14:paraId="201BEB60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Esquema de caché versionado.</w:t>
      </w:r>
    </w:p>
    <w:p w14:paraId="6A218AA1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Migración automática del formato anterior.</w:t>
      </w:r>
    </w:p>
    <w:p w14:paraId="23D02AA4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Invalidación controlada al cambiar ANALYSIS_PROMPT_VERSION.</w:t>
      </w:r>
    </w:p>
    <w:p w14:paraId="04009B7D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Guardado después de cada análisis para conservar el progreso.</w:t>
      </w:r>
    </w:p>
    <w:p w14:paraId="5E8B3FF8" w14:textId="77777777" w:rsidR="001A3B53" w:rsidRDefault="001A3B53" w:rsidP="001A3B53">
      <w:pPr>
        <w:pStyle w:val="Prrafodelista"/>
        <w:numPr>
          <w:ilvl w:val="0"/>
          <w:numId w:val="4"/>
        </w:numPr>
      </w:pPr>
      <w:r>
        <w:t>Diagnóstico y operación</w:t>
      </w:r>
    </w:p>
    <w:p w14:paraId="34BC026F" w14:textId="77777777" w:rsid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Caché de análisis</w:t>
      </w:r>
    </w:p>
    <w:p w14:paraId="61EA85B4" w14:textId="77777777" w:rsidR="001A3B53" w:rsidRDefault="001A3B53" w:rsidP="001A3B53">
      <w:pPr>
        <w:pStyle w:val="Prrafodelista"/>
        <w:numPr>
          <w:ilvl w:val="0"/>
          <w:numId w:val="6"/>
        </w:numPr>
      </w:pPr>
      <w:r>
        <w:t>Argumento --no-claude.</w:t>
      </w:r>
    </w:p>
    <w:p w14:paraId="7D18281F" w14:textId="77777777" w:rsidR="001A3B53" w:rsidRDefault="001A3B53" w:rsidP="001A3B53">
      <w:pPr>
        <w:pStyle w:val="Prrafodelista"/>
        <w:numPr>
          <w:ilvl w:val="0"/>
          <w:numId w:val="6"/>
        </w:numPr>
      </w:pPr>
      <w:r>
        <w:t>Este modo no llama a Claude, no modifica la caché, no genera JSON y no publica.</w:t>
      </w:r>
    </w:p>
    <w:p w14:paraId="22C83662" w14:textId="77777777" w:rsidR="001A3B53" w:rsidRDefault="001A3B53" w:rsidP="001A3B53">
      <w:pPr>
        <w:pStyle w:val="Prrafodelista"/>
        <w:numPr>
          <w:ilvl w:val="0"/>
          <w:numId w:val="6"/>
        </w:numPr>
      </w:pPr>
      <w:r>
        <w:t>Desglose de resultados por fuente, título y fecha.</w:t>
      </w:r>
    </w:p>
    <w:p w14:paraId="75DB10A9" w14:textId="77777777" w:rsidR="001A3B53" w:rsidRDefault="001A3B53" w:rsidP="001A3B53">
      <w:pPr>
        <w:pStyle w:val="Prrafodelista"/>
        <w:numPr>
          <w:ilvl w:val="0"/>
          <w:numId w:val="6"/>
        </w:numPr>
      </w:pPr>
      <w:r>
        <w:t>Medición del tiempo de Chromium y de cada fuente.</w:t>
      </w:r>
    </w:p>
    <w:p w14:paraId="701B1309" w14:textId="77777777" w:rsidR="001A3B53" w:rsidRDefault="001A3B53" w:rsidP="001A3B53">
      <w:pPr>
        <w:pStyle w:val="Prrafodelista"/>
        <w:numPr>
          <w:ilvl w:val="0"/>
          <w:numId w:val="6"/>
        </w:numPr>
      </w:pPr>
      <w:r>
        <w:t>Inclusión de tiempos de recopilación en el JSON final.</w:t>
      </w:r>
    </w:p>
    <w:p w14:paraId="59B632FC" w14:textId="77777777" w:rsidR="001A3B53" w:rsidRDefault="001A3B53" w:rsidP="001A3B53">
      <w:pPr>
        <w:pStyle w:val="Prrafodelista"/>
        <w:numPr>
          <w:ilvl w:val="0"/>
          <w:numId w:val="6"/>
        </w:numPr>
      </w:pPr>
      <w:r>
        <w:t>Conservación de los comentarios CELDA 1, CELDA 2, etc.</w:t>
      </w:r>
    </w:p>
    <w:p w14:paraId="58B0751F" w14:textId="3DCECAFC" w:rsidR="001A3B53" w:rsidRPr="001A3B53" w:rsidRDefault="001A3B53" w:rsidP="001A3B53">
      <w:pPr>
        <w:pStyle w:val="Prrafodelista"/>
        <w:numPr>
          <w:ilvl w:val="0"/>
          <w:numId w:val="6"/>
        </w:numPr>
        <w:spacing w:before="360" w:after="0"/>
        <w:rPr>
          <w:b/>
          <w:bCs/>
        </w:rPr>
      </w:pPr>
      <w:r>
        <w:t>Agrupación de las credenciales en la parte superior del archivo.</w:t>
      </w:r>
    </w:p>
    <w:p w14:paraId="1CBC78A6" w14:textId="77777777" w:rsidR="001A3B53" w:rsidRPr="001A3B53" w:rsidRDefault="001A3B53" w:rsidP="001A3B53">
      <w:pPr>
        <w:pStyle w:val="Prrafodelista"/>
        <w:numPr>
          <w:ilvl w:val="0"/>
          <w:numId w:val="3"/>
        </w:numPr>
        <w:spacing w:before="360" w:after="0"/>
        <w:ind w:left="425" w:hanging="357"/>
        <w:contextualSpacing w:val="0"/>
        <w:rPr>
          <w:b/>
          <w:bCs/>
        </w:rPr>
      </w:pPr>
      <w:r w:rsidRPr="001A3B53">
        <w:rPr>
          <w:b/>
          <w:bCs/>
        </w:rPr>
        <w:t>Caché de análisis</w:t>
      </w:r>
    </w:p>
    <w:p w14:paraId="078543BA" w14:textId="77777777" w:rsidR="001A3B53" w:rsidRDefault="001A3B53" w:rsidP="001A3B53">
      <w:pPr>
        <w:pStyle w:val="Prrafodelista"/>
        <w:numPr>
          <w:ilvl w:val="0"/>
          <w:numId w:val="7"/>
        </w:numPr>
      </w:pPr>
      <w:r>
        <w:t>Validación ejecutada</w:t>
      </w:r>
    </w:p>
    <w:p w14:paraId="31CF706C" w14:textId="276837E6" w:rsidR="001A3B53" w:rsidRDefault="001A3B53" w:rsidP="001A3B53">
      <w:pPr>
        <w:pStyle w:val="Prrafodelista"/>
        <w:numPr>
          <w:ilvl w:val="0"/>
          <w:numId w:val="7"/>
        </w:numPr>
      </w:pPr>
      <w:r>
        <w:t>Compilación sintáctica satisfactoria.</w:t>
      </w:r>
    </w:p>
    <w:p w14:paraId="7E18BB9E" w14:textId="77777777" w:rsidR="001A3B53" w:rsidRDefault="001A3B53" w:rsidP="001A3B53">
      <w:pPr>
        <w:pStyle w:val="Prrafodelista"/>
        <w:numPr>
          <w:ilvl w:val="0"/>
          <w:numId w:val="7"/>
        </w:numPr>
      </w:pPr>
      <w:r>
        <w:t>Ejecución completa de recopilación sin Claude.</w:t>
      </w:r>
    </w:p>
    <w:p w14:paraId="15E29B2E" w14:textId="77777777" w:rsidR="001A3B53" w:rsidRDefault="001A3B53" w:rsidP="001A3B53">
      <w:pPr>
        <w:pStyle w:val="Prrafodelista"/>
        <w:numPr>
          <w:ilvl w:val="0"/>
          <w:numId w:val="7"/>
        </w:numPr>
      </w:pPr>
      <w:r>
        <w:lastRenderedPageBreak/>
        <w:t>Resultado más reciente: 44 convocatorias preliminares en aproximadamente 70 segundos.</w:t>
      </w:r>
    </w:p>
    <w:p w14:paraId="2F31E260" w14:textId="3167F413" w:rsidR="001A3B53" w:rsidRDefault="001A3B53" w:rsidP="001A3B53">
      <w:pPr>
        <w:pStyle w:val="Prrafodelista"/>
        <w:numPr>
          <w:ilvl w:val="0"/>
          <w:numId w:val="7"/>
        </w:numPr>
      </w:pPr>
      <w:r>
        <w:t>No se modificó el archivo de respaldo Grant-Radar.py.</w:t>
      </w:r>
    </w:p>
    <w:p w14:paraId="4B637ED0" w14:textId="77777777" w:rsidR="001A3B53" w:rsidRPr="001A3B53" w:rsidRDefault="001A3B53" w:rsidP="001A3B53">
      <w:pPr>
        <w:rPr>
          <w:color w:val="0070C0"/>
        </w:rPr>
      </w:pPr>
      <w:r w:rsidRPr="001A3B53">
        <w:rPr>
          <w:b/>
          <w:bCs/>
          <w:color w:val="0070C0"/>
          <w:u w:val="single"/>
        </w:rPr>
        <w:t>Recapitulación implementaciones asistidas con Codex</w:t>
      </w:r>
      <w:r w:rsidRPr="001A3B53">
        <w:rPr>
          <w:color w:val="0070C0"/>
        </w:rPr>
        <w:t>:</w:t>
      </w:r>
    </w:p>
    <w:p w14:paraId="321DC2F2" w14:textId="5F49C1FA" w:rsidR="00B109E3" w:rsidRDefault="001A3B53" w:rsidP="00A86FD1">
      <w:r w:rsidRPr="001A3B53">
        <w:rPr>
          <w:b/>
          <w:bCs/>
        </w:rPr>
        <w:t>Supuestos</w:t>
      </w:r>
      <w:r w:rsidRPr="001A3B53">
        <w:t>: desarrollador Python con experiencia, conocimiento inicial limitado del código, incluyendo análisis, implementación, depuración e integración, pero excluyendo reuniones y definición de requisitos.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1A3B53" w14:paraId="74935370" w14:textId="77777777" w:rsidTr="001A3B53">
        <w:tc>
          <w:tcPr>
            <w:tcW w:w="4322" w:type="dxa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4F56F89F" w14:textId="49845FA1" w:rsidR="001A3B53" w:rsidRDefault="001A3B53" w:rsidP="001A3B53">
            <w:pPr>
              <w:spacing w:before="120" w:after="120"/>
            </w:pPr>
            <w:r>
              <w:t>Comparación</w:t>
            </w:r>
          </w:p>
        </w:tc>
        <w:tc>
          <w:tcPr>
            <w:tcW w:w="4322" w:type="dxa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568CD9FB" w14:textId="4A74BA82" w:rsidR="001A3B53" w:rsidRDefault="001A3B53" w:rsidP="001A3B53">
            <w:pPr>
              <w:spacing w:before="120" w:after="120" w:line="259" w:lineRule="auto"/>
            </w:pPr>
            <w:r>
              <w:t>Ahorro estimado</w:t>
            </w:r>
          </w:p>
        </w:tc>
      </w:tr>
      <w:tr w:rsidR="001A3B53" w14:paraId="67EA4BA9" w14:textId="77777777" w:rsidTr="001A3B53">
        <w:tc>
          <w:tcPr>
            <w:tcW w:w="4322" w:type="dxa"/>
            <w:tcBorders>
              <w:top w:val="single" w:sz="4" w:space="0" w:color="auto"/>
            </w:tcBorders>
            <w:shd w:val="clear" w:color="auto" w:fill="DAE9F7" w:themeFill="text2" w:themeFillTint="1A"/>
          </w:tcPr>
          <w:p w14:paraId="52F4E70C" w14:textId="3EACA905" w:rsidR="001A3B53" w:rsidRDefault="001A3B53" w:rsidP="001A3B53">
            <w:pPr>
              <w:spacing w:before="120" w:after="120"/>
            </w:pPr>
            <w:r>
              <w:t>Codex frente a prompts en ChatGPT</w:t>
            </w:r>
          </w:p>
        </w:tc>
        <w:tc>
          <w:tcPr>
            <w:tcW w:w="4322" w:type="dxa"/>
            <w:tcBorders>
              <w:top w:val="single" w:sz="4" w:space="0" w:color="auto"/>
            </w:tcBorders>
          </w:tcPr>
          <w:p w14:paraId="18509ED7" w14:textId="14187E31" w:rsidR="001A3B53" w:rsidRDefault="001A3B53" w:rsidP="001A3B53">
            <w:pPr>
              <w:spacing w:before="120" w:after="120"/>
            </w:pPr>
            <w:r>
              <w:t>6–10 h</w:t>
            </w:r>
          </w:p>
        </w:tc>
      </w:tr>
      <w:tr w:rsidR="001A3B53" w14:paraId="22BF7B7E" w14:textId="77777777" w:rsidTr="001A3B53">
        <w:tc>
          <w:tcPr>
            <w:tcW w:w="4322" w:type="dxa"/>
            <w:shd w:val="clear" w:color="auto" w:fill="DAE9F7" w:themeFill="text2" w:themeFillTint="1A"/>
          </w:tcPr>
          <w:p w14:paraId="22657D05" w14:textId="32BFD70A" w:rsidR="001A3B53" w:rsidRDefault="001A3B53" w:rsidP="001A3B53">
            <w:pPr>
              <w:spacing w:before="120" w:after="120"/>
            </w:pPr>
            <w:r>
              <w:t>Codex frente a programación clásica</w:t>
            </w:r>
          </w:p>
        </w:tc>
        <w:tc>
          <w:tcPr>
            <w:tcW w:w="4322" w:type="dxa"/>
          </w:tcPr>
          <w:p w14:paraId="2A79EE80" w14:textId="4ACF109E" w:rsidR="001A3B53" w:rsidRDefault="001A3B53" w:rsidP="001A3B53">
            <w:pPr>
              <w:spacing w:before="120" w:after="120"/>
            </w:pPr>
            <w:r>
              <w:t>16–28 h</w:t>
            </w:r>
          </w:p>
        </w:tc>
      </w:tr>
    </w:tbl>
    <w:p w14:paraId="6E58BAC3" w14:textId="77777777" w:rsidR="001A3B53" w:rsidRDefault="001A3B53" w:rsidP="001A3B53">
      <w:pPr>
        <w:spacing w:before="240"/>
      </w:pPr>
      <w:r>
        <w:t>La diferencia frente a ChatGPT procede principalmente de la inspección directa del proyecto, aplicación de cambios, ejecución local, diagnóstico sobre resultados reales y corrección iterativa. Frente a programación clásica, también se añade el ahorro en investigación de APIs, desarrollo de parsers, migración de caché e instrumentación.</w:t>
      </w:r>
    </w:p>
    <w:p w14:paraId="68B81CBA" w14:textId="53E11AC5" w:rsidR="001A3B53" w:rsidRDefault="001A3B53" w:rsidP="001A3B53">
      <w:r>
        <w:tab/>
      </w:r>
    </w:p>
    <w:p w14:paraId="6A33EB2E" w14:textId="36101820" w:rsidR="001A3B53" w:rsidRDefault="001A3B53" w:rsidP="001A3B53">
      <w:r>
        <w:tab/>
      </w:r>
    </w:p>
    <w:p w14:paraId="538B6B00" w14:textId="726BCD5C" w:rsidR="001A3B53" w:rsidRDefault="00827A4E" w:rsidP="001A3B53">
      <w:pPr>
        <w:rPr>
          <w:b/>
          <w:bCs/>
          <w:u w:val="single"/>
        </w:rPr>
      </w:pPr>
      <w:r w:rsidRPr="00827A4E">
        <w:rPr>
          <w:b/>
          <w:bCs/>
          <w:u w:val="single"/>
        </w:rPr>
        <w:t>Siguientes pasos</w:t>
      </w:r>
    </w:p>
    <w:p w14:paraId="63120653" w14:textId="1ACF8932" w:rsidR="00827A4E" w:rsidRPr="00827A4E" w:rsidRDefault="00827A4E" w:rsidP="001A3B53">
      <w:r w:rsidRPr="00827A4E">
        <w:t>Implementar herramienta de monitorización de licitaciones públicas</w:t>
      </w:r>
      <w:r w:rsidR="003A004B">
        <w:t>: TED Search API, CORDIS API, PLACSP, EDIH.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107"/>
        <w:gridCol w:w="1831"/>
        <w:gridCol w:w="3360"/>
      </w:tblGrid>
      <w:tr w:rsidR="00827A4E" w:rsidRPr="00827A4E" w14:paraId="6A6072C8" w14:textId="77777777" w:rsidTr="00827A4E">
        <w:trPr>
          <w:tblHeader/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1DA3D3F9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  <w:t>Fuente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3107AE15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  <w:t>¿Convocatorias de subvenciones?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EAE1F11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  <w:t>¿Financiación en cascada?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8EA94EF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s-ES"/>
                <w14:ligatures w14:val="none"/>
              </w:rPr>
              <w:t>Información principal que devuelve</w:t>
            </w:r>
          </w:p>
        </w:tc>
      </w:tr>
      <w:tr w:rsidR="00827A4E" w:rsidRPr="00827A4E" w14:paraId="196BA03F" w14:textId="77777777" w:rsidTr="00827A4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1205A52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BDNS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  <w:hideMark/>
          </w:tcPr>
          <w:p w14:paraId="2135B257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4077013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Parcial y ocasional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C6352C8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Subvenciones y ayudas públicas españolas; también préstamos, garantías y otros instrumentos</w:t>
            </w:r>
          </w:p>
        </w:tc>
      </w:tr>
      <w:tr w:rsidR="00827A4E" w:rsidRPr="00827A4E" w14:paraId="2E342BFA" w14:textId="77777777" w:rsidTr="00827A4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0EF3F57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TED Search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5DDE20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1F2C37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FF03BD5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Licitaciones y anuncios de contratación pública europea</w:t>
            </w:r>
          </w:p>
        </w:tc>
      </w:tr>
      <w:tr w:rsidR="00827A4E" w:rsidRPr="00827A4E" w14:paraId="1428AD25" w14:textId="77777777" w:rsidTr="00827A4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287E83E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CORDIS API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  <w:hideMark/>
          </w:tcPr>
          <w:p w14:paraId="52E564DE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No, no como convocatorias abiertas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55B8A64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Indirectamente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3D8EDD3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Proyectos europeos ya financiados, participantes, importes, resultados y entregables</w:t>
            </w:r>
          </w:p>
        </w:tc>
      </w:tr>
      <w:tr w:rsidR="00827A4E" w:rsidRPr="00827A4E" w14:paraId="6B5A72E9" w14:textId="77777777" w:rsidTr="00827A4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78710B9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Datos abiertos PLACSP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997076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7C1E09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98F777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Licitaciones y expedientes de contratación pública española</w:t>
            </w:r>
          </w:p>
        </w:tc>
      </w:tr>
      <w:tr w:rsidR="00827A4E" w:rsidRPr="00827A4E" w14:paraId="6A6B81F2" w14:textId="77777777" w:rsidTr="00827A4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7F74275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Descarga EDIH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BD2A4B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B0C4407" w14:textId="77777777" w:rsidR="00827A4E" w:rsidRPr="00827A4E" w:rsidRDefault="00827A4E" w:rsidP="00827A4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09AB702" w14:textId="77777777" w:rsidR="00827A4E" w:rsidRPr="00827A4E" w:rsidRDefault="00827A4E" w:rsidP="00827A4E">
            <w:pPr>
              <w:spacing w:after="0" w:line="240" w:lineRule="auto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827A4E">
              <w:rPr>
                <w:rFonts w:eastAsia="Times New Roman" w:cs="Times New Roman"/>
                <w:kern w:val="0"/>
                <w:lang w:eastAsia="es-ES"/>
                <w14:ligatures w14:val="none"/>
              </w:rPr>
              <w:t>Hubs de innovación digital, tecnologías, sectores, contactos y servicios ofrecidos</w:t>
            </w:r>
          </w:p>
        </w:tc>
      </w:tr>
    </w:tbl>
    <w:p w14:paraId="464192F2" w14:textId="77777777" w:rsidR="00827A4E" w:rsidRPr="00827A4E" w:rsidRDefault="00827A4E" w:rsidP="001A3B53">
      <w:pPr>
        <w:rPr>
          <w:b/>
          <w:bCs/>
          <w:u w:val="single"/>
        </w:rPr>
      </w:pPr>
    </w:p>
    <w:p w14:paraId="4A2C2E7B" w14:textId="77777777" w:rsidR="00827A4E" w:rsidRPr="00827A4E" w:rsidRDefault="00827A4E" w:rsidP="001A3B53"/>
    <w:sectPr w:rsidR="00827A4E" w:rsidRPr="00827A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4274F"/>
    <w:multiLevelType w:val="hybridMultilevel"/>
    <w:tmpl w:val="3C8653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165B2"/>
    <w:multiLevelType w:val="hybridMultilevel"/>
    <w:tmpl w:val="5BDCA1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416D9"/>
    <w:multiLevelType w:val="hybridMultilevel"/>
    <w:tmpl w:val="57360E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1133D"/>
    <w:multiLevelType w:val="hybridMultilevel"/>
    <w:tmpl w:val="759C3B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E44C9"/>
    <w:multiLevelType w:val="hybridMultilevel"/>
    <w:tmpl w:val="25B01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F7386"/>
    <w:multiLevelType w:val="hybridMultilevel"/>
    <w:tmpl w:val="3842C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3082A"/>
    <w:multiLevelType w:val="hybridMultilevel"/>
    <w:tmpl w:val="CC6E3F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898435">
    <w:abstractNumId w:val="5"/>
  </w:num>
  <w:num w:numId="2" w16cid:durableId="1464079265">
    <w:abstractNumId w:val="3"/>
  </w:num>
  <w:num w:numId="3" w16cid:durableId="991638056">
    <w:abstractNumId w:val="6"/>
  </w:num>
  <w:num w:numId="4" w16cid:durableId="1936277852">
    <w:abstractNumId w:val="1"/>
  </w:num>
  <w:num w:numId="5" w16cid:durableId="1183323878">
    <w:abstractNumId w:val="4"/>
  </w:num>
  <w:num w:numId="6" w16cid:durableId="819732192">
    <w:abstractNumId w:val="0"/>
  </w:num>
  <w:num w:numId="7" w16cid:durableId="1583415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AE2"/>
    <w:rsid w:val="001A3B53"/>
    <w:rsid w:val="00393CA9"/>
    <w:rsid w:val="003A004B"/>
    <w:rsid w:val="003C1CA6"/>
    <w:rsid w:val="00584920"/>
    <w:rsid w:val="005A3C08"/>
    <w:rsid w:val="00671549"/>
    <w:rsid w:val="00782BAA"/>
    <w:rsid w:val="00827A4E"/>
    <w:rsid w:val="009877E9"/>
    <w:rsid w:val="009B080E"/>
    <w:rsid w:val="009C1BC9"/>
    <w:rsid w:val="00A27DEF"/>
    <w:rsid w:val="00A86FD1"/>
    <w:rsid w:val="00B109E3"/>
    <w:rsid w:val="00BA3D13"/>
    <w:rsid w:val="00C16D41"/>
    <w:rsid w:val="00CA7BF3"/>
    <w:rsid w:val="00CB4AE2"/>
    <w:rsid w:val="00DB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0A7A"/>
  <w15:chartTrackingRefBased/>
  <w15:docId w15:val="{1C395B51-F48F-4195-B24F-D327F3DA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A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77E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6FD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A3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827A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fplus-project.e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.europa.eu/info/funding-tenders/opportunities/portal/screen/opportunities/topic-details/HORIZON-CL5-2026-09-D4-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agon.es/tramitador/-/tramite/ayudas-para-el-fomento-de-inversiones-productivas-en-tecnologias-limpias-y-eficientes-en-el-uso-de-los-recursos/convocatoria-2026" TargetMode="External"/><Relationship Id="rId5" Type="http://schemas.openxmlformats.org/officeDocument/2006/relationships/hyperlink" Target="https://www.idae.es/ayudas-y-financiacion/programa-innova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906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Ortega Alonso</dc:creator>
  <cp:keywords/>
  <dc:description/>
  <cp:lastModifiedBy>Guillermo Ortega Alonso</cp:lastModifiedBy>
  <cp:revision>12</cp:revision>
  <dcterms:created xsi:type="dcterms:W3CDTF">2026-07-24T08:45:00Z</dcterms:created>
  <dcterms:modified xsi:type="dcterms:W3CDTF">2026-08-04T10:45:00Z</dcterms:modified>
</cp:coreProperties>
</file>