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3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>
      <w:pPr>
        <w:spacing w:before="200" w:after="200"/>
        <w:ind w:left="0" w:right="0" w:hanging="0"/>
      </w:pPr>
      <w:r>
        <w:rPr>
          <w:rFonts w:ascii="&amp;quot" w:eastAsia="&amp;quot" w:hAnsi="&amp;quot"/>
          <w:b/>
          <w:sz w:val="18"/>
          <w:szCs w:val="18"/>
          <w:u w:val="single"/>
        </w:rPr>
        <w:t>Gresham Private Equity Fund II, LP</w:t>
      </w:r>
    </w:p>
    <w:p>
      <w:pPr>
        <w:spacing w:before="200" w:after="200"/>
        <w:ind w:left="0" w:right="0" w:hanging="0"/>
      </w:pPr>
      <w:r>
        <w:rPr>
          <w:rFonts w:ascii="&amp;quot" w:eastAsia="&amp;quot" w:hAnsi="&amp;quot"/>
          <w:sz w:val="18"/>
          <w:szCs w:val="18"/>
        </w:rPr>
        <w:t>The distribution from GPEF II represents proceeds from the following underlying managers:</w:t>
      </w:r>
    </w:p>
    <w:p>
      <w:pPr>
        <w:spacing w:before="200" w:after="200"/>
        <w:ind w:left="0" w:right="0" w:hanging="0"/>
      </w:pPr>
    </w:p>
    <w:p>
      <w:pPr>
        <w:spacing w:before="200" w:after="200"/>
        <w:ind w:left="0" w:right="0" w:hanging="0"/>
      </w:pPr>
      <w:r>
        <w:rPr>
          <w:rFonts w:ascii="&amp;quot" w:eastAsia="&amp;quot" w:hAnsi="&amp;quot"/>
          <w:b/>
          <w:i/>
          <w:sz w:val="18"/>
          <w:szCs w:val="18"/>
        </w:rPr>
        <w:t>Asia Alternatives II (“Asia Alternatives II”)</w:t>
      </w:r>
    </w:p>
    <w:p>
      <w:pPr>
        <w:spacing w:before="200" w:after="200"/>
        <w:ind w:left="0" w:right="0" w:hanging="0"/>
      </w:pPr>
      <w:r>
        <w:rPr>
          <w:rFonts w:ascii="&amp;quot" w:eastAsia="&amp;quot" w:hAnsi="&amp;quot"/>
          <w:sz w:val="18"/>
          <w:szCs w:val="18"/>
        </w:rPr>
        <w:t>Asia Alternatives II distributed approximately 2% of invested capital, or $230,000 to GPEF II.</w:t>
      </w:r>
      <w:r>
        <w:rPr>
          <w:rFonts w:ascii="&amp;quot" w:eastAsia="&amp;quot" w:hAnsi="&amp;quot"/>
          <w:sz w:val="18"/>
          <w:szCs w:val="18"/>
        </w:rPr>
        <w:t xml:space="preserve">  </w:t>
      </w:r>
      <w:r>
        <w:rPr>
          <w:rFonts w:ascii="&amp;quot" w:eastAsia="&amp;quot" w:hAnsi="&amp;quot"/>
          <w:sz w:val="18"/>
          <w:szCs w:val="18"/>
        </w:rPr>
        <w:t>This distribution represents proceeds received from Asia Alternative’s portfolio of underlying managers. To date, Asia Alternatives II has distributed approximately 133% of invested capital and generated a net IRR of 18%.</w:t>
      </w:r>
    </w:p>
    <w:p>
      <w:pPr>
        <w:spacing w:before="200" w:after="200"/>
        <w:ind w:left="0" w:right="0" w:hanging="0"/>
      </w:pPr>
      <w:r>
        <w:rPr>
          <w:rFonts w:ascii="&amp;quot" w:eastAsia="&amp;quot" w:hAnsi="&amp;quot"/>
          <w:b/>
          <w:i/>
          <w:sz w:val="18"/>
          <w:szCs w:val="18"/>
        </w:rPr>
        <w:t>Performance Venture II (“PVC II”)</w:t>
      </w:r>
    </w:p>
    <w:p>
      <w:pPr>
        <w:spacing w:before="200" w:after="200"/>
        <w:ind w:left="0" w:right="0" w:hanging="0"/>
      </w:pPr>
      <w:r>
        <w:rPr>
          <w:rFonts w:ascii="&amp;quot" w:eastAsia="&amp;quot" w:hAnsi="&amp;quot"/>
          <w:sz w:val="18"/>
          <w:szCs w:val="18"/>
        </w:rPr>
        <w:t>PVC II distributed approximately 1% of invested capital, or $260,000 to GPEF II. This distribution represents proceeds from several of PVC II’s underlying managers.</w:t>
      </w:r>
      <w:r>
        <w:rPr>
          <w:rFonts w:ascii="&amp;quot" w:eastAsia="&amp;quot" w:hAnsi="&amp;quot"/>
          <w:sz w:val="18"/>
          <w:szCs w:val="18"/>
        </w:rPr>
        <w:t xml:space="preserve">  </w:t>
      </w:r>
      <w:r>
        <w:rPr>
          <w:rFonts w:ascii="&amp;quot" w:eastAsia="&amp;quot" w:hAnsi="&amp;quot"/>
          <w:sz w:val="18"/>
          <w:szCs w:val="18"/>
        </w:rPr>
        <w:t>To date, PVC II has distributed 91% of invested capital and generated a net IRR of 13%.</w:t>
      </w:r>
    </w:p>
    <w:p>
      <w:pPr>
        <w:spacing w:before="200" w:after="200"/>
        <w:ind w:left="0" w:right="0" w:hanging="0"/>
      </w:pPr>
      <w:r>
        <w:rPr>
          <w:rFonts w:ascii="&amp;quot" w:eastAsia="&amp;quot" w:hAnsi="&amp;quot"/>
          <w:b/>
          <w:i/>
          <w:sz w:val="18"/>
          <w:szCs w:val="18"/>
        </w:rPr>
        <w:t>Tiger Global PIP VI (“PIP VI”)</w:t>
      </w:r>
    </w:p>
    <w:p>
      <w:pPr>
        <w:spacing w:before="200" w:after="200"/>
        <w:ind w:left="0" w:right="0" w:hanging="0"/>
      </w:pPr>
      <w:r>
        <w:rPr>
          <w:rFonts w:ascii="&amp;quot" w:eastAsia="&amp;quot" w:hAnsi="&amp;quot"/>
          <w:sz w:val="18"/>
          <w:szCs w:val="18"/>
        </w:rPr>
        <w:t xml:space="preserve">PIP VI distributed approximately 31% of invested capital, or $3,100,000 to GPEF II. </w:t>
      </w:r>
      <w:r>
        <w:rPr>
          <w:rFonts w:ascii="&amp;quot" w:eastAsia="&amp;quot" w:hAnsi="&amp;quot"/>
          <w:sz w:val="18"/>
          <w:szCs w:val="18"/>
        </w:rPr>
        <w:t>This distribution represents proceeds from several portfolio companies.</w:t>
      </w:r>
      <w:r>
        <w:rPr>
          <w:rFonts w:ascii="&amp;quot" w:eastAsia="&amp;quot" w:hAnsi="&amp;quot"/>
          <w:sz w:val="18"/>
          <w:szCs w:val="18"/>
        </w:rPr>
        <w:t xml:space="preserve">  </w:t>
      </w:r>
      <w:r>
        <w:rPr>
          <w:rFonts w:ascii="&amp;quot" w:eastAsia="&amp;quot" w:hAnsi="&amp;quot"/>
          <w:sz w:val="18"/>
          <w:szCs w:val="18"/>
        </w:rPr>
        <w:t>To date, PIP VI has distributed approximately 128% of invested capital and generated a net IRR of 10%.</w:t>
      </w:r>
    </w:p>
    <w:p>
      <w:pPr>
        <w:spacing w:before="200" w:after="200"/>
        <w:ind w:left="0" w:right="0" w:hanging="0"/>
      </w:pPr>
      <w:r>
        <w:rPr>
          <w:rFonts w:ascii="&amp;quot" w:eastAsia="&amp;quot" w:hAnsi="&amp;quot"/>
          <w:b/>
          <w:i/>
          <w:sz w:val="18"/>
          <w:szCs w:val="18"/>
        </w:rPr>
        <w:t>TrueBridge Partners (“TrueBridge”)</w:t>
      </w:r>
    </w:p>
    <w:p>
      <w:pPr>
        <w:spacing w:before="200" w:after="200"/>
        <w:ind w:left="0" w:right="0" w:hanging="0"/>
      </w:pPr>
      <w:r>
        <w:rPr>
          <w:rFonts w:ascii="&amp;quot" w:eastAsia="&amp;quot" w:hAnsi="&amp;quot"/>
          <w:sz w:val="18"/>
          <w:szCs w:val="18"/>
        </w:rPr>
        <w:t>TrueBridge distributed approximately 11% of invested capital, or $520,000 to GPEF II. This distribution relates to realizations of several of TrueBridge’s underlying venture capital investments.</w:t>
      </w:r>
      <w:r>
        <w:rPr>
          <w:rFonts w:ascii="&amp;quot" w:eastAsia="&amp;quot" w:hAnsi="&amp;quot"/>
          <w:sz w:val="18"/>
          <w:szCs w:val="18"/>
        </w:rPr>
        <w:t xml:space="preserve">  </w:t>
      </w:r>
      <w:r>
        <w:rPr>
          <w:rFonts w:ascii="&amp;quot" w:eastAsia="&amp;quot" w:hAnsi="&amp;quot"/>
          <w:sz w:val="18"/>
          <w:szCs w:val="18"/>
        </w:rPr>
        <w:t>To date, TrueBridge has distributed approximately 126% of invested capital and generated a net IRR of 12%.</w:t>
      </w:r>
    </w:p>
    <w:p>
      <w:pPr>
        <w:spacing w:before="200" w:after="200"/>
        <w:ind w:left="0" w:right="0" w:hanging="0"/>
      </w:pP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