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Canonical Definitions</w:t>
      </w:r>
    </w:p>
    <w:p>
      <w:pPr>
        <w:spacing w:after="0" w:before="80"/>
      </w:pPr>
      <w:r>
        <w:t xml:space="preserve"/>
      </w:r>
    </w:p>
    <w:p>
      <w:pPr>
        <w:spacing w:after="80" w:before="0"/>
      </w:pPr>
      <w:r>
        <w:rPr>
          <w:rFonts w:ascii="Arial" w:cs="Arial" w:eastAsia="Arial" w:hAnsi="Arial"/>
          <w:color w:val="555555"/>
          <w:sz w:val="32"/>
          <w:szCs w:val="32"/>
        </w:rPr>
        <w:t xml:space="preserve">Elosia Framework Core Terminology</w:t>
      </w:r>
    </w:p>
    <w:p>
      <w:pPr>
        <w:spacing w:after="480" w:before="0"/>
      </w:pPr>
      <w:r>
        <w:rPr>
          <w:rFonts w:ascii="Arial" w:cs="Arial" w:eastAsia="Arial" w:hAnsi="Arial"/>
          <w:color w:val="2E6DA4"/>
          <w:sz w:val="28"/>
          <w:szCs w:val="28"/>
        </w:rPr>
        <w:t xml:space="preserve">Version 1.1  |  Authoritative Source</w:t>
      </w:r>
    </w:p>
    <w:p>
      <w:pPr>
        <w:spacing w:after="0" w:before="40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May 2026</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80"/>
      </w:pPr>
      <w:r>
        <w:rPr>
          <w:rFonts w:ascii="Arial" w:cs="Arial" w:eastAsia="Arial" w:hAnsi="Arial"/>
          <w:b/>
          <w:bCs/>
          <w:color w:val="1A3A5C"/>
          <w:sz w:val="34"/>
          <w:szCs w:val="34"/>
        </w:rPr>
        <w:t xml:space="preserve">Preamble</w:t>
      </w:r>
    </w:p>
    <w:p>
      <w:pPr>
        <w:spacing w:after="120" w:before="80"/>
      </w:pPr>
      <w:r>
        <w:rPr>
          <w:rFonts w:ascii="Arial" w:cs="Arial" w:eastAsia="Arial" w:hAnsi="Arial"/>
          <w:color w:val="1A1A1A"/>
          <w:sz w:val="22"/>
          <w:szCs w:val="22"/>
        </w:rPr>
        <w:t xml:space="preserve">This document is the authoritative source of terminology for the Elosia Framework. Every term defined here has one canonical definition. Where other documents — research syntheses, notebook outputs, or prior drafts — use these terms differently, this document takes precedence.</w:t>
      </w:r>
    </w:p>
    <w:p>
      <w:pPr>
        <w:spacing w:after="0" w:before="80"/>
      </w:pPr>
      <w:r>
        <w:t xml:space="preserve"/>
      </w:r>
    </w:p>
    <w:p>
      <w:pPr>
        <w:spacing w:after="120" w:before="80"/>
      </w:pPr>
      <w:r>
        <w:rPr>
          <w:rFonts w:ascii="Arial" w:cs="Arial" w:eastAsia="Arial" w:hAnsi="Arial"/>
          <w:color w:val="1A1A1A"/>
          <w:sz w:val="22"/>
          <w:szCs w:val="22"/>
        </w:rPr>
        <w:t xml:space="preserve">These definitions were authored by Gary Phillips through a structured development process. They were not synthesized from research tools, inferred from external sources, or generated by automated systems. They represent deliberate architectural decisions made about how the Elosia Framework operates.</w:t>
      </w:r>
    </w:p>
    <w:p>
      <w:pPr>
        <w:spacing w:after="0" w:before="80"/>
      </w:pPr>
      <w:r>
        <w:t xml:space="preserve"/>
      </w:r>
    </w:p>
    <w:p>
      <w:pPr>
        <w:spacing w:after="120" w:before="80"/>
      </w:pPr>
      <w:r>
        <w:rPr>
          <w:rFonts w:ascii="Arial" w:cs="Arial" w:eastAsia="Arial" w:hAnsi="Arial"/>
          <w:color w:val="1A1A1A"/>
          <w:sz w:val="22"/>
          <w:szCs w:val="22"/>
        </w:rPr>
        <w:t xml:space="preserve">No term in this document may be redefined in any downstream document without explicit versioned amendment to this document. Terminology drift — the condition in which the same term carries different meanings in different documents — is an architectural failure. This document exists to prevent it.</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If a term defined here appears differently in any other document, this document is correct and the other document requires correction before it may be used as source material.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Amendment Record</w:t>
      </w:r>
    </w:p>
    <w:p>
      <w:pPr>
        <w:spacing w:after="120" w:before="80"/>
      </w:pPr>
      <w:r>
        <w:rPr>
          <w:rFonts w:ascii="Arial" w:cs="Arial" w:eastAsia="Arial" w:hAnsi="Arial"/>
          <w:color w:val="1A1A1A"/>
          <w:sz w:val="22"/>
          <w:szCs w:val="22"/>
        </w:rPr>
        <w:t xml:space="preserve">This document is version 1.1. The following amendment was made from version 1.0:</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AMENDMENT 001
</w:t>
      </w:r>
      <w:r>
        <w:rPr>
          <w:rFonts w:ascii="Courier New" w:cs="Courier New" w:eastAsia="Courier New" w:hAnsi="Courier New"/>
          <w:color w:val="1A3A5C"/>
          <w:sz w:val="18"/>
          <w:szCs w:val="18"/>
        </w:rPr>
        <w:br/>
        <w:t xml:space="preserve">Version:   1.0 → 1.1
</w:t>
      </w:r>
      <w:r>
        <w:rPr>
          <w:rFonts w:ascii="Courier New" w:cs="Courier New" w:eastAsia="Courier New" w:hAnsi="Courier New"/>
          <w:color w:val="1A3A5C"/>
          <w:sz w:val="18"/>
          <w:szCs w:val="18"/>
        </w:rPr>
        <w:br/>
        <w:t xml:space="preserve">Date:      May 2026
</w:t>
      </w:r>
      <w:r>
        <w:rPr>
          <w:rFonts w:ascii="Courier New" w:cs="Courier New" w:eastAsia="Courier New" w:hAnsi="Courier New"/>
          <w:color w:val="1A3A5C"/>
          <w:sz w:val="18"/>
          <w:szCs w:val="18"/>
        </w:rPr>
        <w:br/>
        <w:t xml:space="preserve">Author:    Gary Phillips
</w:t>
      </w:r>
      <w:r>
        <w:rPr>
          <w:rFonts w:ascii="Courier New" w:cs="Courier New" w:eastAsia="Courier New" w:hAnsi="Courier New"/>
          <w:color w:val="1A3A5C"/>
          <w:sz w:val="18"/>
          <w:szCs w:val="18"/>
        </w:rPr>
        <w:br/>
        <w:t xml:space="preserve">Section:   Term 05 — Promotion Boundary
</w:t>
      </w:r>
      <w:r>
        <w:rPr>
          <w:rFonts w:ascii="Courier New" w:cs="Courier New" w:eastAsia="Courier New" w:hAnsi="Courier New"/>
          <w:color w:val="1A3A5C"/>
          <w:sz w:val="18"/>
          <w:szCs w:val="18"/>
        </w:rPr>
        <w:br/>
        <w:t xml:space="preserve">           Governance Principles Summary — Principle 05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CORRECTION:
</w:t>
      </w:r>
      <w:r>
        <w:rPr>
          <w:rFonts w:ascii="Courier New" w:cs="Courier New" w:eastAsia="Courier New" w:hAnsi="Courier New"/>
          <w:color w:val="1A3A5C"/>
          <w:sz w:val="18"/>
          <w:szCs w:val="18"/>
        </w:rPr>
        <w:br/>
        <w:t xml:space="preserve">  v1.0 stated that HITL approval could route Material Warrants
</w:t>
      </w:r>
      <w:r>
        <w:rPr>
          <w:rFonts w:ascii="Courier New" w:cs="Courier New" w:eastAsia="Courier New" w:hAnsi="Courier New"/>
          <w:color w:val="1A3A5C"/>
          <w:sz w:val="18"/>
          <w:szCs w:val="18"/>
        </w:rPr>
        <w:br/>
        <w:t xml:space="preserve">  with system-wide relevance to the SMK automatically.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This was incorrect. No automated path from agent output
</w:t>
      </w:r>
      <w:r>
        <w:rPr>
          <w:rFonts w:ascii="Courier New" w:cs="Courier New" w:eastAsia="Courier New" w:hAnsi="Courier New"/>
          <w:color w:val="1A3A5C"/>
          <w:sz w:val="18"/>
          <w:szCs w:val="18"/>
        </w:rPr>
        <w:br/>
        <w:t xml:space="preserve">  to the SMK exists or is permitted under any condition.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HITL approval writes to the agent SIM only.
</w:t>
      </w:r>
      <w:r>
        <w:rPr>
          <w:rFonts w:ascii="Courier New" w:cs="Courier New" w:eastAsia="Courier New" w:hAnsi="Courier New"/>
          <w:color w:val="1A3A5C"/>
          <w:sz w:val="18"/>
          <w:szCs w:val="18"/>
        </w:rPr>
        <w:br/>
        <w:t xml:space="preserve">  SMK updates require a separate authored governance
</w:t>
      </w:r>
      <w:r>
        <w:rPr>
          <w:rFonts w:ascii="Courier New" w:cs="Courier New" w:eastAsia="Courier New" w:hAnsi="Courier New"/>
          <w:color w:val="1A3A5C"/>
          <w:sz w:val="18"/>
          <w:szCs w:val="18"/>
        </w:rPr>
        <w:br/>
        <w:t xml:space="preserve">  amendment outside the agent learning flow.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IMPACT:
</w:t>
      </w:r>
      <w:r>
        <w:rPr>
          <w:rFonts w:ascii="Courier New" w:cs="Courier New" w:eastAsia="Courier New" w:hAnsi="Courier New"/>
          <w:color w:val="1A3A5C"/>
          <w:sz w:val="18"/>
          <w:szCs w:val="18"/>
        </w:rPr>
        <w:br/>
        <w:t xml:space="preserve">  Term 05 — On Approval section rewritten
</w:t>
      </w:r>
      <w:r>
        <w:rPr>
          <w:rFonts w:ascii="Courier New" w:cs="Courier New" w:eastAsia="Courier New" w:hAnsi="Courier New"/>
          <w:color w:val="1A3A5C"/>
          <w:sz w:val="18"/>
          <w:szCs w:val="18"/>
        </w:rPr>
        <w:br/>
        <w:t xml:space="preserve">  Principle 05 — corrected to reflect SIM-only write
</w:t>
      </w:r>
      <w:r>
        <w:rPr>
          <w:rFonts w:ascii="Courier New" w:cs="Courier New" w:eastAsia="Courier New" w:hAnsi="Courier New"/>
          <w:color w:val="1A3A5C"/>
          <w:sz w:val="18"/>
          <w:szCs w:val="18"/>
        </w:rPr>
        <w:t xml:space="preserve">  SIM-to-SMK route confirmed architecturally impossible</w:t>
      </w:r>
    </w:p>
    <w:p>
      <w:pPr>
        <w:spacing w:after="0" w:before="160"/>
      </w:pPr>
      <w:r>
        <w:t xml:space="preserve"/>
      </w:r>
    </w:p>
    <w:p>
      <w:pPr>
        <w:spacing w:after="120" w:before="80"/>
      </w:pPr>
      <w:r>
        <w:rPr>
          <w:rFonts w:ascii="Arial" w:cs="Arial" w:eastAsia="Arial" w:hAnsi="Arial"/>
          <w:color w:val="1A1A1A"/>
          <w:sz w:val="22"/>
          <w:szCs w:val="22"/>
        </w:rPr>
        <w:t xml:space="preserve">This document defines ten canonical terms in the following order:</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1.</w:t>
      </w:r>
      <w:r>
        <w:rPr>
          <w:rFonts w:ascii="Arial" w:cs="Arial" w:eastAsia="Arial" w:hAnsi="Arial"/>
          <w:color w:val="1A1A1A"/>
          <w:sz w:val="22"/>
          <w:szCs w:val="22"/>
        </w:rPr>
        <w:t xml:space="preserve"> SIM — System of Information Management</w:t>
      </w:r>
    </w:p>
    <w:p>
      <w:pPr>
        <w:pStyle w:val="ListParagraph"/>
        <w:numPr>
          <w:ilvl w:val="0"/>
          <w:numId w:val="2"/>
        </w:numPr>
        <w:spacing w:after="60" w:before="60"/>
      </w:pPr>
      <w:r>
        <w:rPr>
          <w:rFonts w:ascii="Arial" w:cs="Arial" w:eastAsia="Arial" w:hAnsi="Arial"/>
          <w:b/>
          <w:bCs/>
          <w:color w:val="1A1A1A"/>
          <w:sz w:val="22"/>
          <w:szCs w:val="22"/>
        </w:rPr>
        <w:t xml:space="preserve">2.</w:t>
      </w:r>
      <w:r>
        <w:rPr>
          <w:rFonts w:ascii="Arial" w:cs="Arial" w:eastAsia="Arial" w:hAnsi="Arial"/>
          <w:color w:val="1A1A1A"/>
          <w:sz w:val="22"/>
          <w:szCs w:val="22"/>
        </w:rPr>
        <w:t xml:space="preserve"> SMK — System of Material Knowledge</w:t>
      </w:r>
    </w:p>
    <w:p>
      <w:pPr>
        <w:pStyle w:val="ListParagraph"/>
        <w:numPr>
          <w:ilvl w:val="0"/>
          <w:numId w:val="2"/>
        </w:numPr>
        <w:spacing w:after="60" w:before="60"/>
      </w:pPr>
      <w:r>
        <w:rPr>
          <w:rFonts w:ascii="Arial" w:cs="Arial" w:eastAsia="Arial" w:hAnsi="Arial"/>
          <w:b/>
          <w:bCs/>
          <w:color w:val="1A1A1A"/>
          <w:sz w:val="22"/>
          <w:szCs w:val="22"/>
        </w:rPr>
        <w:t xml:space="preserve">3.</w:t>
      </w:r>
      <w:r>
        <w:rPr>
          <w:rFonts w:ascii="Arial" w:cs="Arial" w:eastAsia="Arial" w:hAnsi="Arial"/>
          <w:color w:val="1A1A1A"/>
          <w:sz w:val="22"/>
          <w:szCs w:val="22"/>
        </w:rPr>
        <w:t xml:space="preserve"> Notebook Corpus</w:t>
      </w:r>
    </w:p>
    <w:p>
      <w:pPr>
        <w:pStyle w:val="ListParagraph"/>
        <w:numPr>
          <w:ilvl w:val="0"/>
          <w:numId w:val="2"/>
        </w:numPr>
        <w:spacing w:after="60" w:before="60"/>
      </w:pPr>
      <w:r>
        <w:rPr>
          <w:rFonts w:ascii="Arial" w:cs="Arial" w:eastAsia="Arial" w:hAnsi="Arial"/>
          <w:b/>
          <w:bCs/>
          <w:color w:val="1A1A1A"/>
          <w:sz w:val="22"/>
          <w:szCs w:val="22"/>
        </w:rPr>
        <w:t xml:space="preserve">4.</w:t>
      </w:r>
      <w:r>
        <w:rPr>
          <w:rFonts w:ascii="Arial" w:cs="Arial" w:eastAsia="Arial" w:hAnsi="Arial"/>
          <w:color w:val="1A1A1A"/>
          <w:sz w:val="22"/>
          <w:szCs w:val="22"/>
        </w:rPr>
        <w:t xml:space="preserve"> Material Warrant</w:t>
      </w:r>
    </w:p>
    <w:p>
      <w:pPr>
        <w:pStyle w:val="ListParagraph"/>
        <w:numPr>
          <w:ilvl w:val="0"/>
          <w:numId w:val="2"/>
        </w:numPr>
        <w:spacing w:after="60" w:before="60"/>
      </w:pPr>
      <w:r>
        <w:rPr>
          <w:rFonts w:ascii="Arial" w:cs="Arial" w:eastAsia="Arial" w:hAnsi="Arial"/>
          <w:b/>
          <w:bCs/>
          <w:color w:val="1A1A1A"/>
          <w:sz w:val="22"/>
          <w:szCs w:val="22"/>
        </w:rPr>
        <w:t xml:space="preserve">5.</w:t>
      </w:r>
      <w:r>
        <w:rPr>
          <w:rFonts w:ascii="Arial" w:cs="Arial" w:eastAsia="Arial" w:hAnsi="Arial"/>
          <w:color w:val="1A1A1A"/>
          <w:sz w:val="22"/>
          <w:szCs w:val="22"/>
        </w:rPr>
        <w:t xml:space="preserve"> Promotion Boundary</w:t>
      </w:r>
    </w:p>
    <w:p>
      <w:pPr>
        <w:pStyle w:val="ListParagraph"/>
        <w:numPr>
          <w:ilvl w:val="0"/>
          <w:numId w:val="2"/>
        </w:numPr>
        <w:spacing w:after="60" w:before="60"/>
      </w:pPr>
      <w:r>
        <w:rPr>
          <w:rFonts w:ascii="Arial" w:cs="Arial" w:eastAsia="Arial" w:hAnsi="Arial"/>
          <w:b/>
          <w:bCs/>
          <w:color w:val="1A1A1A"/>
          <w:sz w:val="22"/>
          <w:szCs w:val="22"/>
        </w:rPr>
        <w:t xml:space="preserve">6.</w:t>
      </w:r>
      <w:r>
        <w:rPr>
          <w:rFonts w:ascii="Arial" w:cs="Arial" w:eastAsia="Arial" w:hAnsi="Arial"/>
          <w:color w:val="1A1A1A"/>
          <w:sz w:val="22"/>
          <w:szCs w:val="22"/>
        </w:rPr>
        <w:t xml:space="preserve"> Dissent Archive</w:t>
      </w:r>
    </w:p>
    <w:p>
      <w:pPr>
        <w:pStyle w:val="ListParagraph"/>
        <w:numPr>
          <w:ilvl w:val="0"/>
          <w:numId w:val="2"/>
        </w:numPr>
        <w:spacing w:after="60" w:before="60"/>
      </w:pPr>
      <w:r>
        <w:rPr>
          <w:rFonts w:ascii="Arial" w:cs="Arial" w:eastAsia="Arial" w:hAnsi="Arial"/>
          <w:b/>
          <w:bCs/>
          <w:color w:val="1A1A1A"/>
          <w:sz w:val="22"/>
          <w:szCs w:val="22"/>
        </w:rPr>
        <w:t xml:space="preserve">7.</w:t>
      </w:r>
      <w:r>
        <w:rPr>
          <w:rFonts w:ascii="Arial" w:cs="Arial" w:eastAsia="Arial" w:hAnsi="Arial"/>
          <w:color w:val="1A1A1A"/>
          <w:sz w:val="22"/>
          <w:szCs w:val="22"/>
        </w:rPr>
        <w:t xml:space="preserve"> Orchestration Layer</w:t>
      </w:r>
    </w:p>
    <w:p>
      <w:pPr>
        <w:pStyle w:val="ListParagraph"/>
        <w:numPr>
          <w:ilvl w:val="0"/>
          <w:numId w:val="2"/>
        </w:numPr>
        <w:spacing w:after="60" w:before="60"/>
      </w:pPr>
      <w:r>
        <w:rPr>
          <w:rFonts w:ascii="Arial" w:cs="Arial" w:eastAsia="Arial" w:hAnsi="Arial"/>
          <w:b/>
          <w:bCs/>
          <w:color w:val="1A1A1A"/>
          <w:sz w:val="22"/>
          <w:szCs w:val="22"/>
        </w:rPr>
        <w:t xml:space="preserve">8.</w:t>
      </w:r>
      <w:r>
        <w:rPr>
          <w:rFonts w:ascii="Arial" w:cs="Arial" w:eastAsia="Arial" w:hAnsi="Arial"/>
          <w:color w:val="1A1A1A"/>
          <w:sz w:val="22"/>
          <w:szCs w:val="22"/>
        </w:rPr>
        <w:t xml:space="preserve"> Structured Distance Measurement (SDM)</w:t>
      </w:r>
    </w:p>
    <w:p>
      <w:pPr>
        <w:pStyle w:val="ListParagraph"/>
        <w:numPr>
          <w:ilvl w:val="0"/>
          <w:numId w:val="2"/>
        </w:numPr>
        <w:spacing w:after="60" w:before="60"/>
      </w:pPr>
      <w:r>
        <w:rPr>
          <w:rFonts w:ascii="Arial" w:cs="Arial" w:eastAsia="Arial" w:hAnsi="Arial"/>
          <w:b/>
          <w:bCs/>
          <w:color w:val="1A1A1A"/>
          <w:sz w:val="22"/>
          <w:szCs w:val="22"/>
        </w:rPr>
        <w:t xml:space="preserve">9.</w:t>
      </w:r>
      <w:r>
        <w:rPr>
          <w:rFonts w:ascii="Arial" w:cs="Arial" w:eastAsia="Arial" w:hAnsi="Arial"/>
          <w:color w:val="1A1A1A"/>
          <w:sz w:val="22"/>
          <w:szCs w:val="22"/>
        </w:rPr>
        <w:t xml:space="preserve"> Trust Filter Score (TFS)</w:t>
      </w:r>
    </w:p>
    <w:p>
      <w:pPr>
        <w:pStyle w:val="ListParagraph"/>
        <w:numPr>
          <w:ilvl w:val="0"/>
          <w:numId w:val="2"/>
        </w:numPr>
        <w:spacing w:after="60" w:before="60"/>
      </w:pPr>
      <w:r>
        <w:rPr>
          <w:rFonts w:ascii="Arial" w:cs="Arial" w:eastAsia="Arial" w:hAnsi="Arial"/>
          <w:b/>
          <w:bCs/>
          <w:color w:val="1A1A1A"/>
          <w:sz w:val="22"/>
          <w:szCs w:val="22"/>
        </w:rPr>
        <w:t xml:space="preserve">10.</w:t>
      </w:r>
      <w:r>
        <w:rPr>
          <w:rFonts w:ascii="Arial" w:cs="Arial" w:eastAsia="Arial" w:hAnsi="Arial"/>
          <w:color w:val="1A1A1A"/>
          <w:sz w:val="22"/>
          <w:szCs w:val="22"/>
        </w:rPr>
        <w:t xml:space="preserve"> MicroManager Tool Access Grant (TAG)</w:t>
      </w:r>
    </w:p>
    <w:p>
      <w:pPr>
        <w:spacing w:after="0" w:before="80"/>
      </w:pPr>
      <w:r>
        <w:t xml:space="preserve"/>
      </w:r>
    </w:p>
    <w:p>
      <w:pPr>
        <w:spacing w:after="120" w:before="80"/>
      </w:pPr>
      <w:r>
        <w:rPr>
          <w:rFonts w:ascii="Arial" w:cs="Arial" w:eastAsia="Arial" w:hAnsi="Arial"/>
          <w:color w:val="1A1A1A"/>
          <w:sz w:val="22"/>
          <w:szCs w:val="22"/>
        </w:rPr>
        <w:t xml:space="preserve">Each definition includes: canonical name, canonical acronym where applicable, one-sentence definition, extended definition, system role, what the term is not, and alignment to adjacent terms. References are provided at the end of the document.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01.  </w:t>
      </w:r>
      <w:r>
        <w:rPr>
          <w:rFonts w:ascii="Arial" w:cs="Arial" w:eastAsia="Arial" w:hAnsi="Arial"/>
          <w:b/>
          <w:bCs/>
          <w:color w:val="1A3A5C"/>
          <w:sz w:val="40"/>
          <w:szCs w:val="40"/>
        </w:rPr>
        <w:t xml:space="preserve">System of Information Management</w:t>
      </w:r>
      <w:r>
        <w:rPr>
          <w:rFonts w:ascii="Arial" w:cs="Arial" w:eastAsia="Arial" w:hAnsi="Arial"/>
          <w:b w:val="false"/>
          <w:bCs w:val="false"/>
          <w:color w:val="2E6DA4"/>
          <w:sz w:val="28"/>
          <w:szCs w:val="28"/>
        </w:rPr>
        <w:t xml:space="preserve">  (SIM)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SIM: </w:t>
      </w:r>
      <w:r>
        <w:rPr>
          <w:rFonts w:ascii="Arial" w:cs="Arial" w:eastAsia="Arial" w:hAnsi="Arial"/>
          <w:i/>
          <w:iCs/>
          <w:color w:val="1A1A1A"/>
          <w:sz w:val="22"/>
          <w:szCs w:val="22"/>
        </w:rPr>
        <w:t xml:space="preserve">The private, persistent operational memory of an individual agent, written exclusively by the system from HITL-approved events, recording validated successes and failures across runs.</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SIM is the agent's long-term memory. It is not built by the agent during research. It is not populated from notebook sessions. It is written by the system — and only by the system — when a HITL approval event promotes a validated hypothesis into that agent's memory record.</w:t>
      </w:r>
    </w:p>
    <w:p>
      <w:pPr>
        <w:spacing w:after="0" w:before="80"/>
      </w:pPr>
      <w:r>
        <w:t xml:space="preserve"/>
      </w:r>
    </w:p>
    <w:p>
      <w:pPr>
        <w:spacing w:after="120" w:before="80"/>
      </w:pPr>
      <w:r>
        <w:rPr>
          <w:rFonts w:ascii="Arial" w:cs="Arial" w:eastAsia="Arial" w:hAnsi="Arial"/>
          <w:color w:val="1A1A1A"/>
          <w:sz w:val="22"/>
          <w:szCs w:val="22"/>
        </w:rPr>
        <w:t xml:space="preserve">The SIM grows in one direction only. Every entry is the result of a complete validation chain: the hypothesis survived the Disruptor exchange, passed Disruptor-3 empirical arbitration, cleared the automated pre-flight check, and received explicit HITL approval. Nothing else writes to the SIM.</w:t>
      </w:r>
    </w:p>
    <w:p>
      <w:pPr>
        <w:spacing w:after="0" w:before="80"/>
      </w:pPr>
      <w:r>
        <w:t xml:space="preserve"/>
      </w:r>
    </w:p>
    <w:p>
      <w:pPr>
        <w:spacing w:after="120" w:before="80"/>
      </w:pPr>
      <w:r>
        <w:rPr>
          <w:rFonts w:ascii="Arial" w:cs="Arial" w:eastAsia="Arial" w:hAnsi="Arial"/>
          <w:color w:val="1A1A1A"/>
          <w:sz w:val="22"/>
          <w:szCs w:val="22"/>
        </w:rPr>
        <w:t xml:space="preserve">At the start of each new run, the agent reads its SIM before opening its notebook corpus. Validated prior experience shapes how the agent approaches new research — but cannot contaminate it, because the SIM is read-only during active runs. The agent reads from it. The agent cannot write to it.</w:t>
      </w:r>
    </w:p>
    <w:p>
      <w:pPr>
        <w:spacing w:after="0" w:before="80"/>
      </w:pPr>
      <w:r>
        <w:t xml:space="preserve"/>
      </w:r>
    </w:p>
    <w:p>
      <w:pPr>
        <w:spacing w:after="120" w:before="80"/>
      </w:pPr>
      <w:r>
        <w:rPr>
          <w:rFonts w:ascii="Arial" w:cs="Arial" w:eastAsia="Arial" w:hAnsi="Arial"/>
          <w:color w:val="1A1A1A"/>
          <w:sz w:val="22"/>
          <w:szCs w:val="22"/>
        </w:rPr>
        <w:t xml:space="preserve">The SIM is what differentiates an agent that has completed one run from an agent that has completed a thousand. It is the mechanism by which the system accumulates validated intelligence without retraining.</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Storage and Archival</w:t>
      </w:r>
    </w:p>
    <w:p>
      <w:pPr>
        <w:spacing w:after="120" w:before="80"/>
      </w:pPr>
      <w:r>
        <w:rPr>
          <w:rFonts w:ascii="Arial" w:cs="Arial" w:eastAsia="Arial" w:hAnsi="Arial"/>
          <w:color w:val="1A1A1A"/>
          <w:sz w:val="22"/>
          <w:szCs w:val="22"/>
        </w:rPr>
        <w:t xml:space="preserve">The SIM is append-only. Entries are never deleted. When a later validated entry supersedes a prior entry, the prior entry is archived — converted to a timestamped markdown record tagged with superseded status, the entry that replaced it, and the HITL approval event that authorized the transition.</w:t>
      </w:r>
    </w:p>
    <w:p>
      <w:pPr>
        <w:spacing w:after="0" w:before="80"/>
      </w:pPr>
      <w:r>
        <w:t xml:space="preserve"/>
      </w:r>
    </w:p>
    <w:p>
      <w:pPr>
        <w:spacing w:after="120" w:before="80"/>
      </w:pPr>
      <w:r>
        <w:rPr>
          <w:rFonts w:ascii="Arial" w:cs="Arial" w:eastAsia="Arial" w:hAnsi="Arial"/>
          <w:color w:val="1A1A1A"/>
          <w:sz w:val="22"/>
          <w:szCs w:val="22"/>
        </w:rPr>
        <w:t xml:space="preserve">Archived entries are excluded from active agent queries but remain visible to HITL reviewers and accessible in the dissent archive. The active SIM stays lean and performant. The full history stays recoverable.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System Role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READS:   Before notebook corpus opens at run initialization
</w:t>
      </w:r>
      <w:r>
        <w:rPr>
          <w:rFonts w:ascii="Courier New" w:cs="Courier New" w:eastAsia="Courier New" w:hAnsi="Courier New"/>
          <w:color w:val="1A3A5C"/>
          <w:sz w:val="18"/>
          <w:szCs w:val="18"/>
        </w:rPr>
        <w:br/>
        <w:t xml:space="preserve">WRITES:  System only — from HITL approval events
</w:t>
      </w:r>
      <w:r>
        <w:rPr>
          <w:rFonts w:ascii="Courier New" w:cs="Courier New" w:eastAsia="Courier New" w:hAnsi="Courier New"/>
          <w:color w:val="1A3A5C"/>
          <w:sz w:val="18"/>
          <w:szCs w:val="18"/>
        </w:rPr>
        <w:br/>
        <w:t xml:space="preserve">SCOPE:   Private — one SIM per agent, not shared
</w:t>
      </w:r>
      <w:r>
        <w:rPr>
          <w:rFonts w:ascii="Courier New" w:cs="Courier New" w:eastAsia="Courier New" w:hAnsi="Courier New"/>
          <w:color w:val="1A3A5C"/>
          <w:sz w:val="18"/>
          <w:szCs w:val="18"/>
        </w:rPr>
        <w:br/>
        <w:t xml:space="preserve">FORMAT:  Append-only ledger, superseded entries → markdown archive
</w:t>
      </w:r>
      <w:r>
        <w:rPr>
          <w:rFonts w:ascii="Courier New" w:cs="Courier New" w:eastAsia="Courier New" w:hAnsi="Courier New"/>
          <w:color w:val="1A3A5C"/>
          <w:sz w:val="18"/>
          <w:szCs w:val="18"/>
        </w:rPr>
        <w:t xml:space="preserve">ACCESS:  Read-only to agent during active runs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SIM Is Not</w:t>
      </w:r>
    </w:p>
    <w:p>
      <w:pPr>
        <w:pStyle w:val="ListParagraph"/>
        <w:numPr>
          <w:ilvl w:val="0"/>
          <w:numId w:val="2"/>
        </w:numPr>
        <w:spacing w:after="60" w:before="60"/>
      </w:pPr>
      <w:r>
        <w:rPr>
          <w:rFonts w:ascii="Arial" w:cs="Arial" w:eastAsia="Arial" w:hAnsi="Arial"/>
          <w:b/>
          <w:bCs/>
          <w:color w:val="1A1A1A"/>
          <w:sz w:val="22"/>
          <w:szCs w:val="22"/>
        </w:rPr>
        <w:t xml:space="preserve">Not a research resource.</w:t>
      </w:r>
      <w:r>
        <w:rPr>
          <w:rFonts w:ascii="Arial" w:cs="Arial" w:eastAsia="Arial" w:hAnsi="Arial"/>
          <w:color w:val="1A1A1A"/>
          <w:sz w:val="22"/>
          <w:szCs w:val="22"/>
        </w:rPr>
        <w:t xml:space="preserve"> Agents do not query their SIM for answers during active research.</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SIM. There is no collective SIM.</w:t>
      </w:r>
    </w:p>
    <w:p>
      <w:pPr>
        <w:pStyle w:val="ListParagraph"/>
        <w:numPr>
          <w:ilvl w:val="0"/>
          <w:numId w:val="2"/>
        </w:numPr>
        <w:spacing w:after="60" w:before="60"/>
      </w:pPr>
      <w:r>
        <w:rPr>
          <w:rFonts w:ascii="Arial" w:cs="Arial" w:eastAsia="Arial" w:hAnsi="Arial"/>
          <w:b/>
          <w:bCs/>
          <w:color w:val="1A1A1A"/>
          <w:sz w:val="22"/>
          <w:szCs w:val="22"/>
        </w:rPr>
        <w:t xml:space="preserve">Not the SMK.</w:t>
      </w:r>
      <w:r>
        <w:rPr>
          <w:rFonts w:ascii="Arial" w:cs="Arial" w:eastAsia="Arial" w:hAnsi="Arial"/>
          <w:color w:val="1A1A1A"/>
          <w:sz w:val="22"/>
          <w:szCs w:val="22"/>
        </w:rPr>
        <w:t xml:space="preserve"> The SIM is individual agent memory. The SMK is system-wide policy.</w:t>
      </w:r>
    </w:p>
    <w:p>
      <w:pPr>
        <w:pStyle w:val="ListParagraph"/>
        <w:numPr>
          <w:ilvl w:val="0"/>
          <w:numId w:val="2"/>
        </w:numPr>
        <w:spacing w:after="60" w:before="60"/>
      </w:pPr>
      <w:r>
        <w:rPr>
          <w:rFonts w:ascii="Arial" w:cs="Arial" w:eastAsia="Arial" w:hAnsi="Arial"/>
          <w:b/>
          <w:bCs/>
          <w:color w:val="1A1A1A"/>
          <w:sz w:val="22"/>
          <w:szCs w:val="22"/>
        </w:rPr>
        <w:t xml:space="preserve">Not written by the agent.</w:t>
      </w:r>
      <w:r>
        <w:rPr>
          <w:rFonts w:ascii="Arial" w:cs="Arial" w:eastAsia="Arial" w:hAnsi="Arial"/>
          <w:color w:val="1A1A1A"/>
          <w:sz w:val="22"/>
          <w:szCs w:val="22"/>
        </w:rPr>
        <w:t xml:space="preserve"> The agent cannot modify its own SIM under any circumstances.</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SIM is the agent's accumulated record of what the system has confirmed it knows. It is written by approval, not by inference.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02.  </w:t>
      </w:r>
      <w:r>
        <w:rPr>
          <w:rFonts w:ascii="Arial" w:cs="Arial" w:eastAsia="Arial" w:hAnsi="Arial"/>
          <w:b/>
          <w:bCs/>
          <w:color w:val="1A3A5C"/>
          <w:sz w:val="40"/>
          <w:szCs w:val="40"/>
        </w:rPr>
        <w:t xml:space="preserve">System of Material Knowledge</w:t>
      </w:r>
      <w:r>
        <w:rPr>
          <w:rFonts w:ascii="Arial" w:cs="Arial" w:eastAsia="Arial" w:hAnsi="Arial"/>
          <w:b w:val="false"/>
          <w:bCs w:val="false"/>
          <w:color w:val="2E6DA4"/>
          <w:sz w:val="28"/>
          <w:szCs w:val="28"/>
        </w:rPr>
        <w:t xml:space="preserve">  (SMK)</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SMK: </w:t>
      </w:r>
      <w:r>
        <w:rPr>
          <w:rFonts w:ascii="Arial" w:cs="Arial" w:eastAsia="Arial" w:hAnsi="Arial"/>
          <w:i/>
          <w:iCs/>
          <w:color w:val="1A1A1A"/>
          <w:sz w:val="22"/>
          <w:szCs w:val="22"/>
        </w:rPr>
        <w:t xml:space="preserve">The shared, system-wide structural alignment layer holding canonical system expectations, role boundaries, and validated system-level knowledge that keeps all agents oriented without influencing their independent reasoning.</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SMK is the policy book of the Elosia Framework. It is not a knowledge base that agents mine for research answers. It is not a corpus of source material. It defines the shared expectations, validated system-level knowledge, and structural boundaries within which all agents operate — regardless of what they find in their individual research.</w:t>
      </w:r>
    </w:p>
    <w:p>
      <w:pPr>
        <w:spacing w:after="0" w:before="80"/>
      </w:pPr>
      <w:r>
        <w:t xml:space="preserve"/>
      </w:r>
    </w:p>
    <w:p>
      <w:pPr>
        <w:spacing w:after="120" w:before="80"/>
      </w:pPr>
      <w:r>
        <w:rPr>
          <w:rFonts w:ascii="Arial" w:cs="Arial" w:eastAsia="Arial" w:hAnsi="Arial"/>
          <w:color w:val="1A1A1A"/>
          <w:sz w:val="22"/>
          <w:szCs w:val="22"/>
        </w:rPr>
        <w:t xml:space="preserve">The SMK holds three categories of content. First, system expectation documents: the canonical definitions, role specifications, orchestration constraints, promotion criteria, and governance standards that define how the framework operates. These are authored documents — the framework itself in authoritative form. Second, shared validated knowledge: hypotheses approved by HITL that have system-wide structural relevance beyond the originating agent's SIM. Not every approved hypothesis enters the SMK — only those whose validation has structural implications for all agents. Third, structural boundaries: the non-negotiable constraints that no agent can operate outside of, regardless of what its private research or SIM suggests.</w:t>
      </w:r>
    </w:p>
    <w:p>
      <w:pPr>
        <w:spacing w:after="0" w:before="80"/>
      </w:pPr>
      <w:r>
        <w:t xml:space="preserve"/>
      </w:r>
    </w:p>
    <w:p>
      <w:pPr>
        <w:spacing w:after="120" w:before="80"/>
      </w:pPr>
      <w:r>
        <w:rPr>
          <w:rFonts w:ascii="Arial" w:cs="Arial" w:eastAsia="Arial" w:hAnsi="Arial"/>
          <w:color w:val="1A1A1A"/>
          <w:sz w:val="22"/>
          <w:szCs w:val="22"/>
        </w:rPr>
        <w:t xml:space="preserve">The SMK is consulted at two specific moments only: at agent initialization, when structural boundaries are read before the notebook corpus opens, and when drift is detected by Overwatch, when the SMK is referenced to correct an agent's deviation from its defined role intent. It is not consulted during active research. It does not influence the content of D1 or D2 reasoning.</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Access Pattern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INITIALIZATION:  Agent reads SMK boundaries before notebook opens
</w:t>
      </w:r>
      <w:r>
        <w:rPr>
          <w:rFonts w:ascii="Courier New" w:cs="Courier New" w:eastAsia="Courier New" w:hAnsi="Courier New"/>
          <w:color w:val="1A3A5C"/>
          <w:sz w:val="18"/>
          <w:szCs w:val="18"/>
        </w:rPr>
        <w:br/>
        <w:t xml:space="preserve">DRIFT DETECTED:  Overwatch references SMK for role correction
</w:t>
      </w:r>
      <w:r>
        <w:rPr>
          <w:rFonts w:ascii="Courier New" w:cs="Courier New" w:eastAsia="Courier New" w:hAnsi="Courier New"/>
          <w:color w:val="1A3A5C"/>
          <w:sz w:val="18"/>
          <w:szCs w:val="18"/>
        </w:rPr>
        <w:br/>
        <w:t xml:space="preserve">ACTIVE RESEARCH: SMK is NOT accessed
</w:t>
      </w:r>
      <w:r>
        <w:rPr>
          <w:rFonts w:ascii="Courier New" w:cs="Courier New" w:eastAsia="Courier New" w:hAnsi="Courier New"/>
          <w:color w:val="1A3A5C"/>
          <w:sz w:val="18"/>
          <w:szCs w:val="18"/>
        </w:rPr>
        <w:br/>
        <w:t xml:space="preserve">WRITE ACCESS:    HITL only (current) | MicroManager future state
</w:t>
      </w:r>
      <w:r>
        <w:rPr>
          <w:rFonts w:ascii="Courier New" w:cs="Courier New" w:eastAsia="Courier New" w:hAnsi="Courier New"/>
          <w:color w:val="1A3A5C"/>
          <w:sz w:val="18"/>
          <w:szCs w:val="18"/>
        </w:rPr>
        <w:t xml:space="preserve">AGENT ACCESS:    Read-only at defined access points 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SMK Is Not</w:t>
      </w:r>
    </w:p>
    <w:p>
      <w:pPr>
        <w:pStyle w:val="ListParagraph"/>
        <w:numPr>
          <w:ilvl w:val="0"/>
          <w:numId w:val="2"/>
        </w:numPr>
        <w:spacing w:after="60" w:before="60"/>
      </w:pPr>
      <w:r>
        <w:rPr>
          <w:rFonts w:ascii="Arial" w:cs="Arial" w:eastAsia="Arial" w:hAnsi="Arial"/>
          <w:b/>
          <w:bCs/>
          <w:color w:val="1A1A1A"/>
          <w:sz w:val="22"/>
          <w:szCs w:val="22"/>
        </w:rPr>
        <w:t xml:space="preserve">Not a research corpus.</w:t>
      </w:r>
      <w:r>
        <w:rPr>
          <w:rFonts w:ascii="Arial" w:cs="Arial" w:eastAsia="Arial" w:hAnsi="Arial"/>
          <w:color w:val="1A1A1A"/>
          <w:sz w:val="22"/>
          <w:szCs w:val="22"/>
        </w:rPr>
        <w:t xml:space="preserve"> Agents do not pull source material from the SMK.</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The SMK is system-wide policy. The SIM is individual agent memory.</w:t>
      </w:r>
    </w:p>
    <w:p>
      <w:pPr>
        <w:pStyle w:val="ListParagraph"/>
        <w:numPr>
          <w:ilvl w:val="0"/>
          <w:numId w:val="2"/>
        </w:numPr>
        <w:spacing w:after="60" w:before="60"/>
      </w:pPr>
      <w:r>
        <w:rPr>
          <w:rFonts w:ascii="Arial" w:cs="Arial" w:eastAsia="Arial" w:hAnsi="Arial"/>
          <w:b/>
          <w:bCs/>
          <w:color w:val="1A1A1A"/>
          <w:sz w:val="22"/>
          <w:szCs w:val="22"/>
        </w:rPr>
        <w:t xml:space="preserve">Not continuously consulted.</w:t>
      </w:r>
      <w:r>
        <w:rPr>
          <w:rFonts w:ascii="Arial" w:cs="Arial" w:eastAsia="Arial" w:hAnsi="Arial"/>
          <w:color w:val="1A1A1A"/>
          <w:sz w:val="22"/>
          <w:szCs w:val="22"/>
        </w:rPr>
        <w:t xml:space="preserve"> The SMK is called upon at initialization and on drift — not during normal research operation.</w:t>
      </w:r>
    </w:p>
    <w:p>
      <w:pPr>
        <w:pStyle w:val="ListParagraph"/>
        <w:numPr>
          <w:ilvl w:val="0"/>
          <w:numId w:val="2"/>
        </w:numPr>
        <w:spacing w:after="60" w:before="60"/>
      </w:pPr>
      <w:r>
        <w:rPr>
          <w:rFonts w:ascii="Arial" w:cs="Arial" w:eastAsia="Arial" w:hAnsi="Arial"/>
          <w:b/>
          <w:bCs/>
          <w:color w:val="1A1A1A"/>
          <w:sz w:val="22"/>
          <w:szCs w:val="22"/>
        </w:rPr>
        <w:t xml:space="preserve">Not prescriptive about conclusions.</w:t>
      </w:r>
      <w:r>
        <w:rPr>
          <w:rFonts w:ascii="Arial" w:cs="Arial" w:eastAsia="Arial" w:hAnsi="Arial"/>
          <w:color w:val="1A1A1A"/>
          <w:sz w:val="22"/>
          <w:szCs w:val="22"/>
        </w:rPr>
        <w:t xml:space="preserve"> The SMK defines how agents must operate. It does not tell them what to find.</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SMK is the constitution of the system. The SIM is the agent's career record. Neither is a research tool.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03.  </w:t>
      </w:r>
      <w:r>
        <w:rPr>
          <w:rFonts w:ascii="Arial" w:cs="Arial" w:eastAsia="Arial" w:hAnsi="Arial"/>
          <w:b/>
          <w:bCs/>
          <w:color w:val="1A3A5C"/>
          <w:sz w:val="40"/>
          <w:szCs w:val="40"/>
        </w:rPr>
        <w:t xml:space="preserve">Notebook Corpus</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Notebook Corpus: </w:t>
      </w:r>
      <w:r>
        <w:rPr>
          <w:rFonts w:ascii="Arial" w:cs="Arial" w:eastAsia="Arial" w:hAnsi="Arial"/>
          <w:i/>
          <w:iCs/>
          <w:color w:val="1A1A1A"/>
          <w:sz w:val="22"/>
          <w:szCs w:val="22"/>
        </w:rPr>
        <w:t xml:space="preserve">The private, per-agent, ephemeral research environment where agents explore freely, build knowledge from active research, and form hypotheses — with zero assumption of truth and no authority over any other system layer.</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Notebook Corpus is the agent's active research environment. It is not a source of truth. It is a source of discovery. Its purpose is to explore, challenge current assumptions, and interrogate ideas that exist only in theory — without consequence, without regression, and without any obligation to be correct.</w:t>
      </w:r>
    </w:p>
    <w:p>
      <w:pPr>
        <w:spacing w:after="0" w:before="80"/>
      </w:pPr>
      <w:r>
        <w:t xml:space="preserve"/>
      </w:r>
    </w:p>
    <w:p>
      <w:pPr>
        <w:spacing w:after="120" w:before="80"/>
      </w:pPr>
      <w:r>
        <w:rPr>
          <w:rFonts w:ascii="Arial" w:cs="Arial" w:eastAsia="Arial" w:hAnsi="Arial"/>
          <w:color w:val="1A1A1A"/>
          <w:sz w:val="22"/>
          <w:szCs w:val="22"/>
        </w:rPr>
        <w:t xml:space="preserve">The Notebook Corpus is where the agent is permitted to be wrong. That is not a weakness of the design. It is the design. A system that cannot safely be wrong during research will never surface the ideas that challenge what is currently considered correct. The sandbox exists to make intellectual risk safe.</w:t>
      </w:r>
    </w:p>
    <w:p>
      <w:pPr>
        <w:spacing w:after="0" w:before="80"/>
      </w:pPr>
      <w:r>
        <w:t xml:space="preserve"/>
      </w:r>
    </w:p>
    <w:p>
      <w:pPr>
        <w:spacing w:after="120" w:before="80"/>
      </w:pPr>
      <w:r>
        <w:rPr>
          <w:rFonts w:ascii="Arial" w:cs="Arial" w:eastAsia="Arial" w:hAnsi="Arial"/>
          <w:color w:val="1A1A1A"/>
          <w:sz w:val="22"/>
          <w:szCs w:val="22"/>
        </w:rPr>
        <w:t xml:space="preserve">Agents research without intake restriction. They may pull from academic literature, open web sources, contested findings, fringe publications, speculative research, and theoretical frameworks that have never been empirically tested. The ideas most likely to represent paradigm-level shifts are, by definition, not yet validated anywhere. Restricting intake to curated or consensus sources would reproduce the consensus trap the system is designed to escape.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Session Retention Model</w:t>
      </w:r>
    </w:p>
    <w:p>
      <w:pPr>
        <w:spacing w:after="120" w:before="80"/>
      </w:pPr>
      <w:r>
        <w:rPr>
          <w:rFonts w:ascii="Arial" w:cs="Arial" w:eastAsia="Arial" w:hAnsi="Arial"/>
          <w:color w:val="1A1A1A"/>
          <w:sz w:val="22"/>
          <w:szCs w:val="22"/>
        </w:rPr>
        <w:t xml:space="preserve">The Notebook Corpus persists across runs but is bounded. The agent retains the last 20 research sessions in its active notebook. Sessions beyond that boundary are archived to markdown with full metadata and removed from the active working environment. They remain recoverable but are no longer available to the agent during active research.</w:t>
      </w:r>
    </w:p>
    <w:p>
      <w:pPr>
        <w:spacing w:after="0" w:before="80"/>
      </w:pPr>
      <w:r>
        <w:t xml:space="preserve"/>
      </w:r>
    </w:p>
    <w:p>
      <w:pPr>
        <w:spacing w:after="120" w:before="80"/>
      </w:pPr>
      <w:r>
        <w:rPr>
          <w:rFonts w:ascii="Arial" w:cs="Arial" w:eastAsia="Arial" w:hAnsi="Arial"/>
          <w:color w:val="1A1A1A"/>
          <w:sz w:val="22"/>
          <w:szCs w:val="22"/>
        </w:rPr>
        <w:t xml:space="preserve">The 20-session boundary keeps the notebook lean and prevents accumulation drift. An agent carrying unlimited session history would begin to behave like a system with permanent memory — which is the SIM's role, not the notebook's.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Limit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MAXIMUM SOURCES:   300 per session
</w:t>
      </w:r>
      <w:r>
        <w:rPr>
          <w:rFonts w:ascii="Courier New" w:cs="Courier New" w:eastAsia="Courier New" w:hAnsi="Courier New"/>
          <w:color w:val="1A3A5C"/>
          <w:sz w:val="18"/>
          <w:szCs w:val="18"/>
        </w:rPr>
        <w:br/>
        <w:t xml:space="preserve">SOFT WARNING:      250 sources reached
</w:t>
      </w:r>
      <w:r>
        <w:rPr>
          <w:rFonts w:ascii="Courier New" w:cs="Courier New" w:eastAsia="Courier New" w:hAnsi="Courier New"/>
          <w:color w:val="1A3A5C"/>
          <w:sz w:val="18"/>
          <w:szCs w:val="18"/>
        </w:rPr>
        <w:br/>
        <w:t xml:space="preserve">HARD STOP:         300 sources — intake locked for session
</w:t>
      </w:r>
      <w:r>
        <w:rPr>
          <w:rFonts w:ascii="Courier New" w:cs="Courier New" w:eastAsia="Courier New" w:hAnsi="Courier New"/>
          <w:color w:val="1A3A5C"/>
          <w:sz w:val="18"/>
          <w:szCs w:val="18"/>
        </w:rPr>
        <w:br/>
        <w:t xml:space="preserve">INTERNAL SOURCES:  Prior session notes count at 0.5 weight
</w:t>
      </w:r>
      <w:r>
        <w:rPr>
          <w:rFonts w:ascii="Courier New" w:cs="Courier New" w:eastAsia="Courier New" w:hAnsi="Courier New"/>
          <w:color w:val="1A3A5C"/>
          <w:sz w:val="18"/>
          <w:szCs w:val="18"/>
        </w:rPr>
        <w:t xml:space="preserve">EXTENSION:         HITL authorization required — not automatic</w:t>
      </w:r>
    </w:p>
    <w:p>
      <w:pPr>
        <w:spacing w:after="0" w:before="80"/>
      </w:pPr>
      <w:r>
        <w:t xml:space="preserve"/>
      </w:r>
    </w:p>
    <w:p>
      <w:pPr>
        <w:spacing w:after="120" w:before="80"/>
      </w:pPr>
      <w:r>
        <w:rPr>
          <w:rFonts w:ascii="Arial" w:cs="Arial" w:eastAsia="Arial" w:hAnsi="Arial"/>
          <w:color w:val="1A1A1A"/>
          <w:sz w:val="22"/>
          <w:szCs w:val="22"/>
        </w:rPr>
        <w:t xml:space="preserve">The 300 source limit is a disciplined research boundary, not an arbitrary technical constraint. It forces the agent to prioritize signal over volume, protects the integrity of the Disruptor exchange by ensuring proposals are grounded in focused rather than exhaustive research, and creates a natural forcing function for hypothesis focus. An agent approaching 300 sources without a coherent proposal is a signal that the hypothesis is too broad or the research direction needs correction.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Notebook Corpus Is Not</w:t>
      </w:r>
    </w:p>
    <w:p>
      <w:pPr>
        <w:pStyle w:val="ListParagraph"/>
        <w:numPr>
          <w:ilvl w:val="0"/>
          <w:numId w:val="2"/>
        </w:numPr>
        <w:spacing w:after="60" w:before="60"/>
      </w:pPr>
      <w:r>
        <w:rPr>
          <w:rFonts w:ascii="Arial" w:cs="Arial" w:eastAsia="Arial" w:hAnsi="Arial"/>
          <w:b/>
          <w:bCs/>
          <w:color w:val="1A1A1A"/>
          <w:sz w:val="22"/>
          <w:szCs w:val="22"/>
        </w:rPr>
        <w:t xml:space="preserve">Not a source of Material Warrants.</w:t>
      </w:r>
      <w:r>
        <w:rPr>
          <w:rFonts w:ascii="Arial" w:cs="Arial" w:eastAsia="Arial" w:hAnsi="Arial"/>
          <w:color w:val="1A1A1A"/>
          <w:sz w:val="22"/>
          <w:szCs w:val="22"/>
        </w:rPr>
        <w:t xml:space="preserve"> Nothing in the notebook can be cited as established fact in any output that crosses an agent boundary.</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notebook. Isolation is architectural.</w:t>
      </w:r>
    </w:p>
    <w:p>
      <w:pPr>
        <w:pStyle w:val="ListParagraph"/>
        <w:numPr>
          <w:ilvl w:val="0"/>
          <w:numId w:val="2"/>
        </w:numPr>
        <w:spacing w:after="60" w:before="60"/>
      </w:pPr>
      <w:r>
        <w:rPr>
          <w:rFonts w:ascii="Arial" w:cs="Arial" w:eastAsia="Arial" w:hAnsi="Arial"/>
          <w:b/>
          <w:bCs/>
          <w:color w:val="1A1A1A"/>
          <w:sz w:val="22"/>
          <w:szCs w:val="22"/>
        </w:rPr>
        <w:t xml:space="preserve">Not permanent.</w:t>
      </w:r>
      <w:r>
        <w:rPr>
          <w:rFonts w:ascii="Arial" w:cs="Arial" w:eastAsia="Arial" w:hAnsi="Arial"/>
          <w:color w:val="1A1A1A"/>
          <w:sz w:val="22"/>
          <w:szCs w:val="22"/>
        </w:rPr>
        <w:t xml:space="preserve"> Content that does not survive the Disruptor exchange and HITL approval does not persist into SIM or SMK.</w:t>
      </w:r>
    </w:p>
    <w:p>
      <w:pPr>
        <w:pStyle w:val="ListParagraph"/>
        <w:numPr>
          <w:ilvl w:val="0"/>
          <w:numId w:val="2"/>
        </w:numPr>
        <w:spacing w:after="60" w:before="60"/>
      </w:pPr>
      <w:r>
        <w:rPr>
          <w:rFonts w:ascii="Arial" w:cs="Arial" w:eastAsia="Arial" w:hAnsi="Arial"/>
          <w:b/>
          <w:bCs/>
          <w:color w:val="1A1A1A"/>
          <w:sz w:val="22"/>
          <w:szCs w:val="22"/>
        </w:rPr>
        <w:t xml:space="preserve">Not a regression surface.</w:t>
      </w:r>
      <w:r>
        <w:rPr>
          <w:rFonts w:ascii="Arial" w:cs="Arial" w:eastAsia="Arial" w:hAnsi="Arial"/>
          <w:color w:val="1A1A1A"/>
          <w:sz w:val="22"/>
          <w:szCs w:val="22"/>
        </w:rPr>
        <w:t xml:space="preserve"> Being wrong in the notebook has no consequence to validated system knowledge.</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Session history is unpromoted research context. The SIM is validated operational memory.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Notebook Corpus is fuel, not truth. What becomes truth is only what survives the full agent exchange, empirical arbitration, and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04.  </w:t>
      </w:r>
      <w:r>
        <w:rPr>
          <w:rFonts w:ascii="Arial" w:cs="Arial" w:eastAsia="Arial" w:hAnsi="Arial"/>
          <w:b/>
          <w:bCs/>
          <w:color w:val="1A3A5C"/>
          <w:sz w:val="40"/>
          <w:szCs w:val="40"/>
        </w:rPr>
        <w:t xml:space="preserve">Material Warrant</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Material Warrant: </w:t>
      </w:r>
      <w:r>
        <w:rPr>
          <w:rFonts w:ascii="Arial" w:cs="Arial" w:eastAsia="Arial" w:hAnsi="Arial"/>
          <w:i/>
          <w:iCs/>
          <w:color w:val="1A1A1A"/>
          <w:sz w:val="22"/>
          <w:szCs w:val="22"/>
        </w:rPr>
        <w:t xml:space="preserve">A typed, structured, source-locked claim record that the system verifies at the point of assertion — not at the point of generation — constituting the minimum viable unit of promotable knowledge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A Material Warrant is not a citation. It is a governed claim record that enforces verification at the moment a claim is packaged for passage across an agent boundary — not at the moment the agent generated the text. This distinction is architecturally critical.</w:t>
      </w:r>
    </w:p>
    <w:p>
      <w:pPr>
        <w:spacing w:after="0" w:before="80"/>
      </w:pPr>
      <w:r>
        <w:t xml:space="preserve"/>
      </w:r>
    </w:p>
    <w:p>
      <w:pPr>
        <w:spacing w:after="120" w:before="80"/>
      </w:pPr>
      <w:r>
        <w:rPr>
          <w:rFonts w:ascii="Arial" w:cs="Arial" w:eastAsia="Arial" w:hAnsi="Arial"/>
          <w:color w:val="1A1A1A"/>
          <w:sz w:val="22"/>
          <w:szCs w:val="22"/>
        </w:rPr>
        <w:t xml:space="preserve">Standard AI systems generate outputs that have the statistical shape of sourced claims without verifying that the sources exist, are retrievable, or actually support the claim made. In a multi-agent system, an unverified claim from one agent becomes foundation material for the next. Without Material Warrants, errors compound silently across boundaries. With Material Warrants, every claim must be verified before it can travel.</w:t>
      </w:r>
    </w:p>
    <w:p>
      <w:pPr>
        <w:spacing w:after="0" w:before="80"/>
      </w:pPr>
      <w:r>
        <w:t xml:space="preserve"/>
      </w:r>
    </w:p>
    <w:p>
      <w:pPr>
        <w:spacing w:after="120" w:before="80"/>
      </w:pPr>
      <w:r>
        <w:rPr>
          <w:rFonts w:ascii="Arial" w:cs="Arial" w:eastAsia="Arial" w:hAnsi="Arial"/>
          <w:color w:val="1A1A1A"/>
          <w:sz w:val="22"/>
          <w:szCs w:val="22"/>
        </w:rPr>
        <w:t xml:space="preserve">Material Warrants are generated and managed by the Archivist skill, which combines GraphRAG knowledge graph traversal with hybrid memory architecture. The Archivist does not find documents that are semantically similar to a claim — it traverses typed relationship edges to verify that the claimed relationship between concepts actually exists in the sourced material.</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claim_id:          unique identifier
</w:t>
      </w:r>
      <w:r>
        <w:rPr>
          <w:rFonts w:ascii="Courier New" w:cs="Courier New" w:eastAsia="Courier New" w:hAnsi="Courier New"/>
          <w:color w:val="1A3A5C"/>
          <w:sz w:val="18"/>
          <w:szCs w:val="18"/>
        </w:rPr>
        <w:br/>
        <w:t xml:space="preserve">  claim_text:        the assertion being made
</w:t>
      </w:r>
      <w:r>
        <w:rPr>
          <w:rFonts w:ascii="Courier New" w:cs="Courier New" w:eastAsia="Courier New" w:hAnsi="Courier New"/>
          <w:color w:val="1A3A5C"/>
          <w:sz w:val="18"/>
          <w:szCs w:val="18"/>
        </w:rPr>
        <w:br/>
        <w:t xml:space="preserve">  claim_type:        EMPIRICAL | CAUSAL | STRATEGIC |
</w:t>
      </w:r>
      <w:r>
        <w:rPr>
          <w:rFonts w:ascii="Courier New" w:cs="Courier New" w:eastAsia="Courier New" w:hAnsi="Courier New"/>
          <w:color w:val="1A3A5C"/>
          <w:sz w:val="18"/>
          <w:szCs w:val="18"/>
        </w:rPr>
        <w:br/>
        <w:t xml:space="preserve">                     THEORETICAL | REGULATORY
</w:t>
      </w:r>
      <w:r>
        <w:rPr>
          <w:rFonts w:ascii="Courier New" w:cs="Courier New" w:eastAsia="Courier New" w:hAnsi="Courier New"/>
          <w:color w:val="1A3A5C"/>
          <w:sz w:val="18"/>
          <w:szCs w:val="18"/>
        </w:rPr>
        <w:br/>
        <w:t xml:space="preserve">  source_id:         pointer to specific source in notebook
</w:t>
      </w:r>
      <w:r>
        <w:rPr>
          <w:rFonts w:ascii="Courier New" w:cs="Courier New" w:eastAsia="Courier New" w:hAnsi="Courier New"/>
          <w:color w:val="1A3A5C"/>
          <w:sz w:val="18"/>
          <w:szCs w:val="18"/>
        </w:rPr>
        <w:br/>
        <w:t xml:space="preserve">  source_location:   exact location within source
</w:t>
      </w:r>
      <w:r>
        <w:rPr>
          <w:rFonts w:ascii="Courier New" w:cs="Courier New" w:eastAsia="Courier New" w:hAnsi="Courier New"/>
          <w:color w:val="1A3A5C"/>
          <w:sz w:val="18"/>
          <w:szCs w:val="18"/>
        </w:rPr>
        <w:br/>
        <w:t xml:space="preserve">  confidence:        VERIFIED | HIGH | MARGINAL | UNVERIFIED
</w:t>
      </w:r>
      <w:r>
        <w:rPr>
          <w:rFonts w:ascii="Courier New" w:cs="Courier New" w:eastAsia="Courier New" w:hAnsi="Courier New"/>
          <w:color w:val="1A3A5C"/>
          <w:sz w:val="18"/>
          <w:szCs w:val="18"/>
        </w:rPr>
        <w:br/>
        <w:t xml:space="preserve">  agent_id:          which agent generated this claim
</w:t>
      </w:r>
      <w:r>
        <w:rPr>
          <w:rFonts w:ascii="Courier New" w:cs="Courier New" w:eastAsia="Courier New" w:hAnsi="Courier New"/>
          <w:color w:val="1A3A5C"/>
          <w:sz w:val="18"/>
          <w:szCs w:val="18"/>
        </w:rPr>
        <w:br/>
        <w:t xml:space="preserve">  session_id:        which notebook session it came from
</w:t>
      </w:r>
      <w:r>
        <w:rPr>
          <w:rFonts w:ascii="Courier New" w:cs="Courier New" w:eastAsia="Courier New" w:hAnsi="Courier New"/>
          <w:color w:val="1A3A5C"/>
          <w:sz w:val="18"/>
          <w:szCs w:val="18"/>
        </w:rPr>
        <w:br/>
        <w:t xml:space="preserve">  exchange_step:     D1_PROPOSAL | D2_REVIEW | D3_JUDGMENT
</w:t>
      </w:r>
      <w:r>
        <w:rPr>
          <w:rFonts w:ascii="Courier New" w:cs="Courier New" w:eastAsia="Courier New" w:hAnsi="Courier New"/>
          <w:color w:val="1A3A5C"/>
          <w:sz w:val="18"/>
          <w:szCs w:val="18"/>
        </w:rPr>
        <w:br/>
        <w:t xml:space="preserve">  timestamp:         when the warrant was created
</w:t>
      </w:r>
      <w:r>
        <w:rPr>
          <w:rFonts w:ascii="Courier New" w:cs="Courier New" w:eastAsia="Courier New" w:hAnsi="Courier New"/>
          <w:color w:val="1A3A5C"/>
          <w:sz w:val="18"/>
          <w:szCs w:val="18"/>
        </w:rPr>
        <w:br/>
        <w:t xml:space="preserve">  provenance_chain:  full lineage from source to claim
</w:t>
      </w:r>
      <w:r>
        <w:rPr>
          <w:rFonts w:ascii="Courier New" w:cs="Courier New" w:eastAsia="Courier New" w:hAnsi="Courier New"/>
          <w:color w:val="1A3A5C"/>
          <w:sz w:val="18"/>
          <w:szCs w:val="18"/>
        </w:rPr>
        <w:br/>
        <w:t xml:space="preserve">  hitl_approval_id:  populated only after promotion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Confidence Enum Definitions</w:t>
      </w:r>
    </w:p>
    <w:p>
      <w:pPr>
        <w:pStyle w:val="ListParagraph"/>
        <w:numPr>
          <w:ilvl w:val="0"/>
          <w:numId w:val="2"/>
        </w:numPr>
        <w:spacing w:after="60" w:before="60"/>
      </w:pPr>
      <w:r>
        <w:rPr>
          <w:rFonts w:ascii="Arial" w:cs="Arial" w:eastAsia="Arial" w:hAnsi="Arial"/>
          <w:b/>
          <w:bCs/>
          <w:color w:val="1A1A1A"/>
          <w:sz w:val="22"/>
          <w:szCs w:val="22"/>
        </w:rPr>
        <w:t xml:space="preserve">VERIFIED.</w:t>
      </w:r>
      <w:r>
        <w:rPr>
          <w:rFonts w:ascii="Arial" w:cs="Arial" w:eastAsia="Arial" w:hAnsi="Arial"/>
          <w:color w:val="1A1A1A"/>
          <w:sz w:val="22"/>
          <w:szCs w:val="22"/>
        </w:rPr>
        <w:t xml:space="preserve"> Source directly and explicitly supports the claim with no inferential distance.</w:t>
      </w:r>
    </w:p>
    <w:p>
      <w:pPr>
        <w:pStyle w:val="ListParagraph"/>
        <w:numPr>
          <w:ilvl w:val="0"/>
          <w:numId w:val="2"/>
        </w:numPr>
        <w:spacing w:after="60" w:before="60"/>
      </w:pPr>
      <w:r>
        <w:rPr>
          <w:rFonts w:ascii="Arial" w:cs="Arial" w:eastAsia="Arial" w:hAnsi="Arial"/>
          <w:b/>
          <w:bCs/>
          <w:color w:val="1A1A1A"/>
          <w:sz w:val="22"/>
          <w:szCs w:val="22"/>
        </w:rPr>
        <w:t xml:space="preserve">HIGH.</w:t>
      </w:r>
      <w:r>
        <w:rPr>
          <w:rFonts w:ascii="Arial" w:cs="Arial" w:eastAsia="Arial" w:hAnsi="Arial"/>
          <w:color w:val="1A1A1A"/>
          <w:sz w:val="22"/>
          <w:szCs w:val="22"/>
        </w:rPr>
        <w:t xml:space="preserve"> Source strongly implies the claim with minimal inferential distance and no contradicting sources.</w:t>
      </w:r>
    </w:p>
    <w:p>
      <w:pPr>
        <w:pStyle w:val="ListParagraph"/>
        <w:numPr>
          <w:ilvl w:val="0"/>
          <w:numId w:val="2"/>
        </w:numPr>
        <w:spacing w:after="60" w:before="60"/>
      </w:pPr>
      <w:r>
        <w:rPr>
          <w:rFonts w:ascii="Arial" w:cs="Arial" w:eastAsia="Arial" w:hAnsi="Arial"/>
          <w:b/>
          <w:bCs/>
          <w:color w:val="1A1A1A"/>
          <w:sz w:val="22"/>
          <w:szCs w:val="22"/>
        </w:rPr>
        <w:t xml:space="preserve">MARGINAL.</w:t>
      </w:r>
      <w:r>
        <w:rPr>
          <w:rFonts w:ascii="Arial" w:cs="Arial" w:eastAsia="Arial" w:hAnsi="Arial"/>
          <w:color w:val="1A1A1A"/>
          <w:sz w:val="22"/>
          <w:szCs w:val="22"/>
        </w:rPr>
        <w:t xml:space="preserve"> Source provides partial support. Additional corroboration required for promotion eligibility.</w:t>
      </w:r>
    </w:p>
    <w:p>
      <w:pPr>
        <w:pStyle w:val="ListParagraph"/>
        <w:numPr>
          <w:ilvl w:val="0"/>
          <w:numId w:val="2"/>
        </w:numPr>
        <w:spacing w:after="60" w:before="60"/>
      </w:pPr>
      <w:r>
        <w:rPr>
          <w:rFonts w:ascii="Arial" w:cs="Arial" w:eastAsia="Arial" w:hAnsi="Arial"/>
          <w:b/>
          <w:bCs/>
          <w:color w:val="1A1A1A"/>
          <w:sz w:val="22"/>
          <w:szCs w:val="22"/>
        </w:rPr>
        <w:t xml:space="preserve">UNVERIFIED.</w:t>
      </w:r>
      <w:r>
        <w:rPr>
          <w:rFonts w:ascii="Arial" w:cs="Arial" w:eastAsia="Arial" w:hAnsi="Arial"/>
          <w:color w:val="1A1A1A"/>
          <w:sz w:val="22"/>
          <w:szCs w:val="22"/>
        </w:rPr>
        <w:t xml:space="preserve"> Claim is present in the notebook but source support is insufficient for assertion. Cannot cross agent boundaries.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Only VERIFIED and HIGH confidence warrants are eligible for promotion to SIM or SMK. MARGINAL warrants are flagged at the Promotion Boundary and require HITL acknowledgment to proceed.</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Claim Type Definitions</w:t>
      </w:r>
    </w:p>
    <w:p>
      <w:pPr>
        <w:pStyle w:val="ListParagraph"/>
        <w:numPr>
          <w:ilvl w:val="0"/>
          <w:numId w:val="2"/>
        </w:numPr>
        <w:spacing w:after="60" w:before="60"/>
      </w:pPr>
      <w:r>
        <w:rPr>
          <w:rFonts w:ascii="Arial" w:cs="Arial" w:eastAsia="Arial" w:hAnsi="Arial"/>
          <w:b/>
          <w:bCs/>
          <w:color w:val="1A1A1A"/>
          <w:sz w:val="22"/>
          <w:szCs w:val="22"/>
        </w:rPr>
        <w:t xml:space="preserve">EMPIRICAL.</w:t>
      </w:r>
      <w:r>
        <w:rPr>
          <w:rFonts w:ascii="Arial" w:cs="Arial" w:eastAsia="Arial" w:hAnsi="Arial"/>
          <w:color w:val="1A1A1A"/>
          <w:sz w:val="22"/>
          <w:szCs w:val="22"/>
        </w:rPr>
        <w:t xml:space="preserve"> A direct observation drawn from source material. Requires a single traceable source.</w:t>
      </w:r>
    </w:p>
    <w:p>
      <w:pPr>
        <w:pStyle w:val="ListParagraph"/>
        <w:numPr>
          <w:ilvl w:val="0"/>
          <w:numId w:val="2"/>
        </w:numPr>
        <w:spacing w:after="60" w:before="60"/>
      </w:pPr>
      <w:r>
        <w:rPr>
          <w:rFonts w:ascii="Arial" w:cs="Arial" w:eastAsia="Arial" w:hAnsi="Arial"/>
          <w:b/>
          <w:bCs/>
          <w:color w:val="1A1A1A"/>
          <w:sz w:val="22"/>
          <w:szCs w:val="22"/>
        </w:rPr>
        <w:t xml:space="preserve">CAUSAL.</w:t>
      </w:r>
      <w:r>
        <w:rPr>
          <w:rFonts w:ascii="Arial" w:cs="Arial" w:eastAsia="Arial" w:hAnsi="Arial"/>
          <w:color w:val="1A1A1A"/>
          <w:sz w:val="22"/>
          <w:szCs w:val="22"/>
        </w:rPr>
        <w:t xml:space="preserve"> A relationship between two or more verified empirical claims. Requires a reasoning chain connecting sources.</w:t>
      </w:r>
    </w:p>
    <w:p>
      <w:pPr>
        <w:pStyle w:val="ListParagraph"/>
        <w:numPr>
          <w:ilvl w:val="0"/>
          <w:numId w:val="2"/>
        </w:numPr>
        <w:spacing w:after="60" w:before="60"/>
      </w:pPr>
      <w:r>
        <w:rPr>
          <w:rFonts w:ascii="Arial" w:cs="Arial" w:eastAsia="Arial" w:hAnsi="Arial"/>
          <w:b/>
          <w:bCs/>
          <w:color w:val="1A1A1A"/>
          <w:sz w:val="22"/>
          <w:szCs w:val="22"/>
        </w:rPr>
        <w:t xml:space="preserve">STRATEGIC.</w:t>
      </w:r>
      <w:r>
        <w:rPr>
          <w:rFonts w:ascii="Arial" w:cs="Arial" w:eastAsia="Arial" w:hAnsi="Arial"/>
          <w:color w:val="1A1A1A"/>
          <w:sz w:val="22"/>
          <w:szCs w:val="22"/>
        </w:rPr>
        <w:t xml:space="preserve"> A recommendation derived from multiple causal claims. Requires documented reasoning chain.</w:t>
      </w:r>
    </w:p>
    <w:p>
      <w:pPr>
        <w:pStyle w:val="ListParagraph"/>
        <w:numPr>
          <w:ilvl w:val="0"/>
          <w:numId w:val="2"/>
        </w:numPr>
        <w:spacing w:after="60" w:before="60"/>
      </w:pPr>
      <w:r>
        <w:rPr>
          <w:rFonts w:ascii="Arial" w:cs="Arial" w:eastAsia="Arial" w:hAnsi="Arial"/>
          <w:b/>
          <w:bCs/>
          <w:color w:val="1A1A1A"/>
          <w:sz w:val="22"/>
          <w:szCs w:val="22"/>
        </w:rPr>
        <w:t xml:space="preserve">THEORETICAL.</w:t>
      </w:r>
      <w:r>
        <w:rPr>
          <w:rFonts w:ascii="Arial" w:cs="Arial" w:eastAsia="Arial" w:hAnsi="Arial"/>
          <w:color w:val="1A1A1A"/>
          <w:sz w:val="22"/>
          <w:szCs w:val="22"/>
        </w:rPr>
        <w:t xml:space="preserve"> A framework or model not yet empirically tested. Explicitly marked as theoretical — cannot be presented as established fact.</w:t>
      </w:r>
    </w:p>
    <w:p>
      <w:pPr>
        <w:pStyle w:val="ListParagraph"/>
        <w:numPr>
          <w:ilvl w:val="0"/>
          <w:numId w:val="2"/>
        </w:numPr>
        <w:spacing w:after="60" w:before="60"/>
      </w:pPr>
      <w:r>
        <w:rPr>
          <w:rFonts w:ascii="Arial" w:cs="Arial" w:eastAsia="Arial" w:hAnsi="Arial"/>
          <w:b/>
          <w:bCs/>
          <w:color w:val="1A1A1A"/>
          <w:sz w:val="22"/>
          <w:szCs w:val="22"/>
        </w:rPr>
        <w:t xml:space="preserve">REGULATORY.</w:t>
      </w:r>
      <w:r>
        <w:rPr>
          <w:rFonts w:ascii="Arial" w:cs="Arial" w:eastAsia="Arial" w:hAnsi="Arial"/>
          <w:color w:val="1A1A1A"/>
          <w:sz w:val="22"/>
          <w:szCs w:val="22"/>
        </w:rPr>
        <w:t xml:space="preserve"> A compliance or governance requirement from an authoritative source. Requires direct citation of the authoritative document.</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A Material Warrant does not make the agent smarter. It makes the agent's outputs checkable. That is a more important property for a governed system.</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05.  </w:t>
      </w:r>
      <w:r>
        <w:rPr>
          <w:rFonts w:ascii="Arial" w:cs="Arial" w:eastAsia="Arial" w:hAnsi="Arial"/>
          <w:b/>
          <w:bCs/>
          <w:color w:val="1A3A5C"/>
          <w:sz w:val="40"/>
          <w:szCs w:val="40"/>
        </w:rPr>
        <w:t xml:space="preserve">Promotion Boundary</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Promotion Boundary: </w:t>
      </w:r>
      <w:r>
        <w:rPr>
          <w:rFonts w:ascii="Arial" w:cs="Arial" w:eastAsia="Arial" w:hAnsi="Arial"/>
          <w:i/>
          <w:iCs/>
          <w:color w:val="1A1A1A"/>
          <w:sz w:val="22"/>
          <w:szCs w:val="22"/>
        </w:rPr>
        <w:t xml:space="preserve">The single, non-negotiable architectural enforcement point between exploration and truth — the terminal point of the Disruptor exchange and the only authorized entry point into the SIM and SMK.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Promotion Boundary is not a process. It is not a review step. It is a hard structural barrier that the system cannot route around, that no agent can bypass, and that no automated process can satisfy on behalf of a human. It is the operational definition of the difference between exploration and truth in the Elosia Framework.</w:t>
      </w:r>
    </w:p>
    <w:p>
      <w:pPr>
        <w:spacing w:after="0" w:before="80"/>
      </w:pPr>
      <w:r>
        <w:t xml:space="preserve"/>
      </w:r>
    </w:p>
    <w:p>
      <w:pPr>
        <w:spacing w:after="120" w:before="80"/>
      </w:pPr>
      <w:r>
        <w:rPr>
          <w:rFonts w:ascii="Arial" w:cs="Arial" w:eastAsia="Arial" w:hAnsi="Arial"/>
          <w:color w:val="1A1A1A"/>
          <w:sz w:val="22"/>
          <w:szCs w:val="22"/>
        </w:rPr>
        <w:t xml:space="preserve">Packages arrive at the Promotion Boundary from the Disruptor exchange via the orchestration layer. The orchestration layer delivers the package to the HITL folder as a one-way transfer and records the delivery event. It does not wait for a response. It creates no feedback channel. The HITL folder is input-only.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Pre-Flight Checklist</w:t>
      </w:r>
    </w:p>
    <w:p>
      <w:pPr>
        <w:spacing w:after="120" w:before="80"/>
      </w:pPr>
      <w:r>
        <w:rPr>
          <w:rFonts w:ascii="Arial" w:cs="Arial" w:eastAsia="Arial" w:hAnsi="Arial"/>
          <w:color w:val="1A1A1A"/>
          <w:sz w:val="22"/>
          <w:szCs w:val="22"/>
        </w:rPr>
        <w:t xml:space="preserve">Before delivery to the HITL folder, the system performs an automated pre-flight check. This is not HITL. It is the system verifying that the package is complete enough to warrant human review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 Every claim has a Material Warrant
</w:t>
      </w:r>
      <w:r>
        <w:rPr>
          <w:rFonts w:ascii="Courier New" w:cs="Courier New" w:eastAsia="Courier New" w:hAnsi="Courier New"/>
          <w:color w:val="1A3A5C"/>
          <w:sz w:val="18"/>
          <w:szCs w:val="18"/>
        </w:rPr>
        <w:br/>
        <w:t xml:space="preserve">[ ] Every warrant has a source_id resolving in the notebook corpus
</w:t>
      </w:r>
      <w:r>
        <w:rPr>
          <w:rFonts w:ascii="Courier New" w:cs="Courier New" w:eastAsia="Courier New" w:hAnsi="Courier New"/>
          <w:color w:val="1A3A5C"/>
          <w:sz w:val="18"/>
          <w:szCs w:val="18"/>
        </w:rPr>
        <w:br/>
        <w:t xml:space="preserve">[ ] Every warrant has a claim_type assigned
</w:t>
      </w:r>
      <w:r>
        <w:rPr>
          <w:rFonts w:ascii="Courier New" w:cs="Courier New" w:eastAsia="Courier New" w:hAnsi="Courier New"/>
          <w:color w:val="1A3A5C"/>
          <w:sz w:val="18"/>
          <w:szCs w:val="18"/>
        </w:rPr>
        <w:br/>
        <w:t xml:space="preserve">[ ] Warrant confidence is VERIFIED or HIGH
</w:t>
      </w:r>
      <w:r>
        <w:rPr>
          <w:rFonts w:ascii="Courier New" w:cs="Courier New" w:eastAsia="Courier New" w:hAnsi="Courier New"/>
          <w:color w:val="1A3A5C"/>
          <w:sz w:val="18"/>
          <w:szCs w:val="18"/>
        </w:rPr>
        <w:br/>
        <w:t xml:space="preserve">    (MARGINAL warrants flagged — not blocked)
</w:t>
      </w:r>
      <w:r>
        <w:rPr>
          <w:rFonts w:ascii="Courier New" w:cs="Courier New" w:eastAsia="Courier New" w:hAnsi="Courier New"/>
          <w:color w:val="1A3A5C"/>
          <w:sz w:val="18"/>
          <w:szCs w:val="18"/>
        </w:rPr>
        <w:br/>
        <w:t xml:space="preserve">[ ] Provenance chain is unbroken source to claim
</w:t>
      </w:r>
      <w:r>
        <w:rPr>
          <w:rFonts w:ascii="Courier New" w:cs="Courier New" w:eastAsia="Courier New" w:hAnsi="Courier New"/>
          <w:color w:val="1A3A5C"/>
          <w:sz w:val="18"/>
          <w:szCs w:val="18"/>
        </w:rPr>
        <w:br/>
        <w:t xml:space="preserve">[ ] D3 Structured Distance score is present
</w:t>
      </w:r>
      <w:r>
        <w:rPr>
          <w:rFonts w:ascii="Courier New" w:cs="Courier New" w:eastAsia="Courier New" w:hAnsi="Courier New"/>
          <w:color w:val="1A3A5C"/>
          <w:sz w:val="18"/>
          <w:szCs w:val="18"/>
        </w:rPr>
        <w:br/>
        <w:t xml:space="preserve">[ ] Exchange record is complete — all five steps present
</w:t>
      </w:r>
      <w:r>
        <w:rPr>
          <w:rFonts w:ascii="Courier New" w:cs="Courier New" w:eastAsia="Courier New" w:hAnsi="Courier New"/>
          <w:color w:val="1A3A5C"/>
          <w:sz w:val="18"/>
          <w:szCs w:val="18"/>
        </w:rPr>
        <w:br/>
        <w:t xml:space="preserve">[ ] MicroManager TAG log for the session is attached
</w:t>
      </w:r>
      <w:r>
        <w:rPr>
          <w:rFonts w:ascii="Courier New" w:cs="Courier New" w:eastAsia="Courier New" w:hAnsi="Courier New"/>
          <w:color w:val="1A3A5C"/>
          <w:sz w:val="18"/>
          <w:szCs w:val="18"/>
        </w:rPr>
        <w:br/>
        <w:t xml:space="preserve">[ ] No CoreSentry violations flagged unresolved
</w:t>
      </w:r>
      <w:r>
        <w:rPr>
          <w:rFonts w:ascii="Courier New" w:cs="Courier New" w:eastAsia="Courier New" w:hAnsi="Courier New"/>
          <w:color w:val="1A3A5C"/>
          <w:sz w:val="18"/>
          <w:szCs w:val="18"/>
        </w:rPr>
        <w:t xml:space="preserve">[ ] Trust Filter Score Level 1 — PASS</w:t>
      </w:r>
    </w:p>
    <w:p>
      <w:pPr>
        <w:spacing w:after="0" w:before="80"/>
      </w:pPr>
      <w:r>
        <w:t xml:space="preserve"/>
      </w:r>
    </w:p>
    <w:p>
      <w:pPr>
        <w:spacing w:after="120" w:before="80"/>
      </w:pPr>
      <w:r>
        <w:rPr>
          <w:rFonts w:ascii="Arial" w:cs="Arial" w:eastAsia="Arial" w:hAnsi="Arial"/>
          <w:color w:val="1A1A1A"/>
          <w:sz w:val="22"/>
          <w:szCs w:val="22"/>
        </w:rPr>
        <w:t xml:space="preserve">A package that fails the pre-flight check is returned to the dissent archive with a documented failure reason. It does not reach HITL. The failure carries no regression — the notebook is the safe place to be wrong, and a failed pre-flight is the system catching that before it wastes human review time.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HITL Decision Options</w:t>
      </w:r>
    </w:p>
    <w:p>
      <w:pPr>
        <w:pStyle w:val="ListParagraph"/>
        <w:numPr>
          <w:ilvl w:val="0"/>
          <w:numId w:val="2"/>
        </w:numPr>
        <w:spacing w:after="60" w:before="60"/>
      </w:pPr>
      <w:r>
        <w:rPr>
          <w:rFonts w:ascii="Arial" w:cs="Arial" w:eastAsia="Arial" w:hAnsi="Arial"/>
          <w:b/>
          <w:bCs/>
          <w:color w:val="1A1A1A"/>
          <w:sz w:val="22"/>
          <w:szCs w:val="22"/>
        </w:rPr>
        <w:t xml:space="preserve">APPROVE.</w:t>
      </w:r>
      <w:r>
        <w:rPr>
          <w:rFonts w:ascii="Arial" w:cs="Arial" w:eastAsia="Arial" w:hAnsi="Arial"/>
          <w:color w:val="1A1A1A"/>
          <w:sz w:val="22"/>
          <w:szCs w:val="22"/>
        </w:rPr>
        <w:t xml:space="preserve"> Hypothesis is sound. Package crosses the boundary. Locked hypothesis ingested into agent SIM. Structural warrants promoted to SMK. Exchange record moves to dissent archive.</w:t>
      </w:r>
    </w:p>
    <w:p>
      <w:pPr>
        <w:pStyle w:val="ListParagraph"/>
        <w:numPr>
          <w:ilvl w:val="0"/>
          <w:numId w:val="2"/>
        </w:numPr>
        <w:spacing w:after="60" w:before="60"/>
      </w:pPr>
      <w:r>
        <w:rPr>
          <w:rFonts w:ascii="Arial" w:cs="Arial" w:eastAsia="Arial" w:hAnsi="Arial"/>
          <w:b/>
          <w:bCs/>
          <w:color w:val="1A1A1A"/>
          <w:sz w:val="22"/>
          <w:szCs w:val="22"/>
        </w:rPr>
        <w:t xml:space="preserve">RETURN FOR REVIEW.</w:t>
      </w:r>
      <w:r>
        <w:rPr>
          <w:rFonts w:ascii="Arial" w:cs="Arial" w:eastAsia="Arial" w:hAnsi="Arial"/>
          <w:color w:val="1A1A1A"/>
          <w:sz w:val="22"/>
          <w:szCs w:val="22"/>
        </w:rPr>
        <w:t xml:space="preserve"> Package has merit but requires additional scrutiny at a specific point. Returned to the exchange at the specified step — not to the beginning.</w:t>
      </w:r>
    </w:p>
    <w:p>
      <w:pPr>
        <w:pStyle w:val="ListParagraph"/>
        <w:numPr>
          <w:ilvl w:val="0"/>
          <w:numId w:val="2"/>
        </w:numPr>
        <w:spacing w:after="60" w:before="60"/>
      </w:pPr>
      <w:r>
        <w:rPr>
          <w:rFonts w:ascii="Arial" w:cs="Arial" w:eastAsia="Arial" w:hAnsi="Arial"/>
          <w:b/>
          <w:bCs/>
          <w:color w:val="1A1A1A"/>
          <w:sz w:val="22"/>
          <w:szCs w:val="22"/>
        </w:rPr>
        <w:t xml:space="preserve">ARCHIVE.</w:t>
      </w:r>
      <w:r>
        <w:rPr>
          <w:rFonts w:ascii="Arial" w:cs="Arial" w:eastAsia="Arial" w:hAnsi="Arial"/>
          <w:color w:val="1A1A1A"/>
          <w:sz w:val="22"/>
          <w:szCs w:val="22"/>
        </w:rPr>
        <w:t xml:space="preserve"> Package does not meet promotion threshold. Stored in dissent archive with human reasoning attached.</w:t>
      </w:r>
    </w:p>
    <w:p>
      <w:pPr>
        <w:pStyle w:val="ListParagraph"/>
        <w:numPr>
          <w:ilvl w:val="0"/>
          <w:numId w:val="2"/>
        </w:numPr>
        <w:spacing w:after="60" w:before="60"/>
      </w:pPr>
      <w:r>
        <w:rPr>
          <w:rFonts w:ascii="Arial" w:cs="Arial" w:eastAsia="Arial" w:hAnsi="Arial"/>
          <w:b/>
          <w:bCs/>
          <w:color w:val="1A1A1A"/>
          <w:sz w:val="22"/>
          <w:szCs w:val="22"/>
        </w:rPr>
        <w:t xml:space="preserve">ESCALATE.</w:t>
      </w:r>
      <w:r>
        <w:rPr>
          <w:rFonts w:ascii="Arial" w:cs="Arial" w:eastAsia="Arial" w:hAnsi="Arial"/>
          <w:color w:val="1A1A1A"/>
          <w:sz w:val="22"/>
          <w:szCs w:val="22"/>
        </w:rPr>
        <w:t xml:space="preserve"> Package raises a question exceeding current governance scope. Held in escalation queue pending additional expertise or regulatory review.</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On Approval — What Crosses the Boundary</w:t>
      </w:r>
    </w:p>
    <w:p>
      <w:pPr>
        <w:spacing w:after="120" w:before="80"/>
      </w:pPr>
      <w:r>
        <w:rPr>
          <w:rFonts w:ascii="Arial" w:cs="Arial" w:eastAsia="Arial" w:hAnsi="Arial"/>
          <w:color w:val="1A1A1A"/>
          <w:sz w:val="22"/>
          <w:szCs w:val="22"/>
        </w:rPr>
        <w:t xml:space="preserve">On HITL approval, exactly one write event occurs. The locked hypothesis is written to the originating agent's SIM by the system — not by the agent — carrying the full provenance chain and the HITL approval ID that completes every Material Warrant in the package.</w:t>
      </w:r>
    </w:p>
    <w:p>
      <w:pPr>
        <w:spacing w:after="0" w:before="80"/>
      </w:pPr>
      <w:r>
        <w:t xml:space="preserve"/>
      </w:r>
    </w:p>
    <w:p>
      <w:pPr>
        <w:spacing w:after="120" w:before="80"/>
      </w:pPr>
      <w:r>
        <w:rPr>
          <w:rFonts w:ascii="Arial" w:cs="Arial" w:eastAsia="Arial" w:hAnsi="Arial"/>
          <w:color w:val="1A1A1A"/>
          <w:sz w:val="22"/>
          <w:szCs w:val="22"/>
        </w:rPr>
        <w:t xml:space="preserve">Nothing is written to the SMK. There is no automated path, no API, no routing condition, and no HITL action that causes agent output to enter the SMK. SIM-to-SMK promotion is architecturally impossible. The SMK is updated only through separate authored governance amendments outside the agent learning flow entirely.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HITL APPROVAL: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WRITES TO:     Agent SIM only
</w:t>
      </w:r>
      <w:r>
        <w:rPr>
          <w:rFonts w:ascii="Courier New" w:cs="Courier New" w:eastAsia="Courier New" w:hAnsi="Courier New"/>
          <w:color w:val="1A3A5C"/>
          <w:sz w:val="18"/>
          <w:szCs w:val="18"/>
        </w:rPr>
        <w:br/>
        <w:t xml:space="preserve">  WRITTEN BY:    System — from HITL approval event
</w:t>
      </w:r>
      <w:r>
        <w:rPr>
          <w:rFonts w:ascii="Courier New" w:cs="Courier New" w:eastAsia="Courier New" w:hAnsi="Courier New"/>
          <w:color w:val="1A3A5C"/>
          <w:sz w:val="18"/>
          <w:szCs w:val="18"/>
        </w:rPr>
        <w:br/>
        <w:t xml:space="preserve">  WRITTEN BY:    NOT the agent
</w:t>
      </w:r>
      <w:r>
        <w:rPr>
          <w:rFonts w:ascii="Courier New" w:cs="Courier New" w:eastAsia="Courier New" w:hAnsi="Courier New"/>
          <w:color w:val="1A3A5C"/>
          <w:sz w:val="18"/>
          <w:szCs w:val="18"/>
        </w:rPr>
        <w:br/>
        <w:t xml:space="preserve">  CARRIES:       Full provenance chain + HITL approval ID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DOES NOT WRITE TO:  SMK
</w:t>
      </w:r>
      <w:r>
        <w:rPr>
          <w:rFonts w:ascii="Courier New" w:cs="Courier New" w:eastAsia="Courier New" w:hAnsi="Courier New"/>
          <w:color w:val="1A3A5C"/>
          <w:sz w:val="18"/>
          <w:szCs w:val="18"/>
        </w:rPr>
        <w:br/>
        <w:t xml:space="preserve">  DOES NOT WRITE TO:  Any other agent SIM
</w:t>
      </w:r>
      <w:r>
        <w:rPr>
          <w:rFonts w:ascii="Courier New" w:cs="Courier New" w:eastAsia="Courier New" w:hAnsi="Courier New"/>
          <w:color w:val="1A3A5C"/>
          <w:sz w:val="18"/>
          <w:szCs w:val="18"/>
        </w:rPr>
        <w:br/>
        <w:t xml:space="preserve">  DOES NOT WRITE TO:  Orchestration layer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EVERYTHING ELSE → Dissent Archive
</w:t>
      </w:r>
      <w:r>
        <w:rPr>
          <w:rFonts w:ascii="Courier New" w:cs="Courier New" w:eastAsia="Courier New" w:hAnsi="Courier New"/>
          <w:color w:val="1A3A5C"/>
          <w:sz w:val="18"/>
          <w:szCs w:val="18"/>
        </w:rPr>
        <w:br/>
        <w:t xml:space="preserve">    Exchange record, all proposals, losing package
</w:t>
      </w:r>
      <w:r>
        <w:rPr>
          <w:rFonts w:ascii="Courier New" w:cs="Courier New" w:eastAsia="Courier New" w:hAnsi="Courier New"/>
          <w:color w:val="1A3A5C"/>
          <w:sz w:val="18"/>
          <w:szCs w:val="18"/>
        </w:rPr>
        <w:br/>
        <w:t xml:space="preserve">    Timestamped, recoverable, never deleted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SMK UPDATE PATH (separate process — not triggered here):
</w:t>
      </w:r>
      <w:r>
        <w:rPr>
          <w:rFonts w:ascii="Courier New" w:cs="Courier New" w:eastAsia="Courier New" w:hAnsi="Courier New"/>
          <w:color w:val="1A3A5C"/>
          <w:sz w:val="18"/>
          <w:szCs w:val="18"/>
        </w:rPr>
        <w:br/>
        <w:t xml:space="preserve">  Authored governance amendment only
</w:t>
      </w:r>
      <w:r>
        <w:rPr>
          <w:rFonts w:ascii="Courier New" w:cs="Courier New" w:eastAsia="Courier New" w:hAnsi="Courier New"/>
          <w:color w:val="1A3A5C"/>
          <w:sz w:val="18"/>
          <w:szCs w:val="18"/>
        </w:rPr>
        <w:br/>
        <w:t xml:space="preserve">  Versioned document outside agent learning flow
</w:t>
      </w:r>
      <w:r>
        <w:rPr>
          <w:rFonts w:ascii="Courier New" w:cs="Courier New" w:eastAsia="Courier New" w:hAnsi="Courier New"/>
          <w:color w:val="1A3A5C"/>
          <w:sz w:val="18"/>
          <w:szCs w:val="18"/>
        </w:rPr>
        <w:br/>
        <w:t xml:space="preserve">  No API endpoint accessible from agent layer
</w:t>
      </w:r>
      <w:r>
        <w:rPr>
          <w:rFonts w:ascii="Courier New" w:cs="Courier New" w:eastAsia="Courier New" w:hAnsi="Courier New"/>
          <w:color w:val="1A3A5C"/>
          <w:sz w:val="18"/>
          <w:szCs w:val="18"/>
        </w:rPr>
        <w:br/>
        <w:t xml:space="preserve">  No MicroManager TAG covers SMK write
</w:t>
      </w:r>
      <w:r>
        <w:rPr>
          <w:rFonts w:ascii="Courier New" w:cs="Courier New" w:eastAsia="Courier New" w:hAnsi="Courier New"/>
          <w:color w:val="1A3A5C"/>
          <w:sz w:val="18"/>
          <w:szCs w:val="18"/>
        </w:rPr>
        <w:br/>
        <w:t xml:space="preserve">  No HITL approval event triggers SMK update
</w:t>
      </w:r>
      <w:r>
        <w:rPr>
          <w:rFonts w:ascii="Courier New" w:cs="Courier New" w:eastAsia="Courier New" w:hAnsi="Courier New"/>
          <w:color w:val="1A3A5C"/>
          <w:sz w:val="18"/>
          <w:szCs w:val="18"/>
        </w:rPr>
        <w:t xml:space="preserve">  No exception condition exists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SIM-to-SMK Separation — Architectural Enforcement</w:t>
      </w:r>
    </w:p>
    <w:p>
      <w:pPr>
        <w:spacing w:after="120" w:before="80"/>
      </w:pPr>
      <w:r>
        <w:rPr>
          <w:rFonts w:ascii="Arial" w:cs="Arial" w:eastAsia="Arial" w:hAnsi="Arial"/>
          <w:color w:val="1A1A1A"/>
          <w:sz w:val="22"/>
          <w:szCs w:val="22"/>
        </w:rPr>
        <w:t xml:space="preserve">The impossibility of SIM content becoming SMK content is not a policy guideline. It is an architectural constraint enforced at the rights layer. The following permissions table defines this exhaustively: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WRITE PERMISSIONS TO SMK:
</w:t>
      </w:r>
      <w:r>
        <w:rPr>
          <w:rFonts w:ascii="Courier New" w:cs="Courier New" w:eastAsia="Courier New" w:hAnsi="Courier New"/>
          <w:color w:val="1A3A5C"/>
          <w:sz w:val="18"/>
          <w:szCs w:val="18"/>
        </w:rPr>
        <w:br/>
        <w:t xml:space="preserve">  Agent (any role):        NONE
</w:t>
      </w:r>
      <w:r>
        <w:rPr>
          <w:rFonts w:ascii="Courier New" w:cs="Courier New" w:eastAsia="Courier New" w:hAnsi="Courier New"/>
          <w:color w:val="1A3A5C"/>
          <w:sz w:val="18"/>
          <w:szCs w:val="18"/>
        </w:rPr>
        <w:br/>
        <w:t xml:space="preserve">  Orchestration Layer:     NONE
</w:t>
      </w:r>
      <w:r>
        <w:rPr>
          <w:rFonts w:ascii="Courier New" w:cs="Courier New" w:eastAsia="Courier New" w:hAnsi="Courier New"/>
          <w:color w:val="1A3A5C"/>
          <w:sz w:val="18"/>
          <w:szCs w:val="18"/>
        </w:rPr>
        <w:br/>
        <w:t xml:space="preserve">  MicroManager:            NONE
</w:t>
      </w:r>
      <w:r>
        <w:rPr>
          <w:rFonts w:ascii="Courier New" w:cs="Courier New" w:eastAsia="Courier New" w:hAnsi="Courier New"/>
          <w:color w:val="1A3A5C"/>
          <w:sz w:val="18"/>
          <w:szCs w:val="18"/>
        </w:rPr>
        <w:br/>
        <w:t xml:space="preserve">  HITL approval event:     NONE
</w:t>
      </w:r>
      <w:r>
        <w:rPr>
          <w:rFonts w:ascii="Courier New" w:cs="Courier New" w:eastAsia="Courier New" w:hAnsi="Courier New"/>
          <w:color w:val="1A3A5C"/>
          <w:sz w:val="18"/>
          <w:szCs w:val="18"/>
        </w:rPr>
        <w:br/>
        <w:t xml:space="preserve">  Promotion Boundary:      NONE
</w:t>
      </w:r>
      <w:r>
        <w:rPr>
          <w:rFonts w:ascii="Courier New" w:cs="Courier New" w:eastAsia="Courier New" w:hAnsi="Courier New"/>
          <w:color w:val="1A3A5C"/>
          <w:sz w:val="18"/>
          <w:szCs w:val="18"/>
        </w:rPr>
        <w:br/>
        <w:t xml:space="preserve">  Any automated process:   NONE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SMK WRITE AUTHORITY:
</w:t>
      </w:r>
      <w:r>
        <w:rPr>
          <w:rFonts w:ascii="Courier New" w:cs="Courier New" w:eastAsia="Courier New" w:hAnsi="Courier New"/>
          <w:color w:val="1A3A5C"/>
          <w:sz w:val="18"/>
          <w:szCs w:val="18"/>
        </w:rPr>
        <w:br/>
        <w:t xml:space="preserve">  Governance amendment:    YES — versioned, authored,
</w:t>
      </w:r>
      <w:r>
        <w:rPr>
          <w:rFonts w:ascii="Courier New" w:cs="Courier New" w:eastAsia="Courier New" w:hAnsi="Courier New"/>
          <w:color w:val="1A3A5C"/>
          <w:sz w:val="18"/>
          <w:szCs w:val="18"/>
        </w:rPr>
        <w:br/>
        <w:t xml:space="preserve">                                outside agent flow only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ENFORCEMENT:
</w:t>
      </w:r>
      <w:r>
        <w:rPr>
          <w:rFonts w:ascii="Courier New" w:cs="Courier New" w:eastAsia="Courier New" w:hAnsi="Courier New"/>
          <w:color w:val="1A3A5C"/>
          <w:sz w:val="18"/>
          <w:szCs w:val="18"/>
        </w:rPr>
        <w:br/>
        <w:t xml:space="preserve">  No API endpoint for SMK write exists in agent layer
</w:t>
      </w:r>
      <w:r>
        <w:rPr>
          <w:rFonts w:ascii="Courier New" w:cs="Courier New" w:eastAsia="Courier New" w:hAnsi="Courier New"/>
          <w:color w:val="1A3A5C"/>
          <w:sz w:val="18"/>
          <w:szCs w:val="18"/>
        </w:rPr>
        <w:br/>
        <w:t xml:space="preserve">  No MicroManager TAG category covers SMK write
</w:t>
      </w:r>
      <w:r>
        <w:rPr>
          <w:rFonts w:ascii="Courier New" w:cs="Courier New" w:eastAsia="Courier New" w:hAnsi="Courier New"/>
          <w:color w:val="1A3A5C"/>
          <w:sz w:val="18"/>
          <w:szCs w:val="18"/>
        </w:rPr>
        <w:br/>
        <w:t xml:space="preserve">  No routing rule in Orchestration Layer points to SMK
</w:t>
      </w:r>
      <w:r>
        <w:rPr>
          <w:rFonts w:ascii="Courier New" w:cs="Courier New" w:eastAsia="Courier New" w:hAnsi="Courier New"/>
          <w:color w:val="1A3A5C"/>
          <w:sz w:val="18"/>
          <w:szCs w:val="18"/>
        </w:rPr>
        <w:t xml:space="preserve">  No HITL decision type triggers SMK update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agent can write to SIM or SMK. No automated process can satisfy the Promotion Boundary. The hitl_approval_id in every Material Warrant is populated by one process only —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06.  </w:t>
      </w:r>
      <w:r>
        <w:rPr>
          <w:rFonts w:ascii="Arial" w:cs="Arial" w:eastAsia="Arial" w:hAnsi="Arial"/>
          <w:b/>
          <w:bCs/>
          <w:color w:val="1A3A5C"/>
          <w:sz w:val="40"/>
          <w:szCs w:val="40"/>
        </w:rPr>
        <w:t xml:space="preserve">Dissent Archive</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Dissent Archive: </w:t>
      </w:r>
      <w:r>
        <w:rPr>
          <w:rFonts w:ascii="Arial" w:cs="Arial" w:eastAsia="Arial" w:hAnsi="Arial"/>
          <w:i/>
          <w:iCs/>
          <w:color w:val="1A1A1A"/>
          <w:sz w:val="22"/>
          <w:szCs w:val="22"/>
        </w:rPr>
        <w:t xml:space="preserve">A persistent, append-only repository of non-promoted exchange outputs — including rejected, returned, and anomalous hypotheses — preserved as stored anomaly vectors for future reinterpretation, system calibration, and temporal reference.</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Dissent Archive is not a discard pile. It is a research artifact with growing value over time. Every output from every run that does not cross the Promotion Boundary is preserved here — including packages that failed pre-flight, packages archived by HITL, packages returned for review, and the losing proposal from every permutation run.</w:t>
      </w:r>
    </w:p>
    <w:p>
      <w:pPr>
        <w:spacing w:after="0" w:before="80"/>
      </w:pPr>
      <w:r>
        <w:t xml:space="preserve"/>
      </w:r>
    </w:p>
    <w:p>
      <w:pPr>
        <w:spacing w:after="120" w:before="80"/>
      </w:pPr>
      <w:r>
        <w:rPr>
          <w:rFonts w:ascii="Arial" w:cs="Arial" w:eastAsia="Arial" w:hAnsi="Arial"/>
          <w:color w:val="1A1A1A"/>
          <w:sz w:val="22"/>
          <w:szCs w:val="22"/>
        </w:rPr>
        <w:t xml:space="preserve">The theoretical foundation for this design is the Reinterpretation of Anomaly pattern identified in recursive human creativity research [1]. Every failed hypothesis in the Dissent Archive is a stored anomaly vector — an idea that did not survive the current empirical standard but may become relevant as technology, understanding, or strategic context shifts. Alexander Fleming did not discard the contaminated petri dish. He reinterpreted it. The Dissent Archive is the system's mechanism for preserving that possibility.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Three Functions</w:t>
      </w:r>
    </w:p>
    <w:p>
      <w:pPr>
        <w:pStyle w:val="ListParagraph"/>
        <w:numPr>
          <w:ilvl w:val="0"/>
          <w:numId w:val="2"/>
        </w:numPr>
        <w:spacing w:after="60" w:before="60"/>
      </w:pPr>
      <w:r>
        <w:rPr>
          <w:rFonts w:ascii="Arial" w:cs="Arial" w:eastAsia="Arial" w:hAnsi="Arial"/>
          <w:b/>
          <w:bCs/>
          <w:color w:val="1A1A1A"/>
          <w:sz w:val="22"/>
          <w:szCs w:val="22"/>
        </w:rPr>
        <w:t xml:space="preserve">Orchestration Calibration.</w:t>
      </w:r>
      <w:r>
        <w:rPr>
          <w:rFonts w:ascii="Arial" w:cs="Arial" w:eastAsia="Arial" w:hAnsi="Arial"/>
          <w:color w:val="1A1A1A"/>
          <w:sz w:val="22"/>
          <w:szCs w:val="22"/>
        </w:rPr>
        <w:t xml:space="preserve"> Patterns in archived outputs reveal systematic tendencies in how the system evaluates proposals. If one type of proposal is consistently archived across multiple runs and role permutations, that is a signal — either the evaluation criteria are miscalibrated or the proposals share a structural flaw. The archive makes that pattern visible and actionable.</w:t>
      </w:r>
    </w:p>
    <w:p>
      <w:pPr>
        <w:pStyle w:val="ListParagraph"/>
        <w:numPr>
          <w:ilvl w:val="0"/>
          <w:numId w:val="2"/>
        </w:numPr>
        <w:spacing w:after="60" w:before="60"/>
      </w:pPr>
      <w:r>
        <w:rPr>
          <w:rFonts w:ascii="Arial" w:cs="Arial" w:eastAsia="Arial" w:hAnsi="Arial"/>
          <w:b/>
          <w:bCs/>
          <w:color w:val="1A1A1A"/>
          <w:sz w:val="22"/>
          <w:szCs w:val="22"/>
        </w:rPr>
        <w:t xml:space="preserve">Temporal Reference.</w:t>
      </w:r>
      <w:r>
        <w:rPr>
          <w:rFonts w:ascii="Arial" w:cs="Arial" w:eastAsia="Arial" w:hAnsi="Arial"/>
          <w:color w:val="1A1A1A"/>
          <w:sz w:val="22"/>
          <w:szCs w:val="22"/>
        </w:rPr>
        <w:t xml:space="preserve"> Ideas assessed as impractical today may become relevant as hardware, tooling, or theoretical understanding advances. The archive preserves the full reasoning at the time of archiving — not just what was rejected, but why, against what empirical standard, and what conditions would need to be satisfied for the idea to become viable.</w:t>
      </w:r>
    </w:p>
    <w:p>
      <w:pPr>
        <w:pStyle w:val="ListParagraph"/>
        <w:numPr>
          <w:ilvl w:val="0"/>
          <w:numId w:val="2"/>
        </w:numPr>
        <w:spacing w:after="60" w:before="60"/>
      </w:pPr>
      <w:r>
        <w:rPr>
          <w:rFonts w:ascii="Arial" w:cs="Arial" w:eastAsia="Arial" w:hAnsi="Arial"/>
          <w:b/>
          <w:bCs/>
          <w:color w:val="1A1A1A"/>
          <w:sz w:val="22"/>
          <w:szCs w:val="22"/>
        </w:rPr>
        <w:t xml:space="preserve">Cross-Run Analysis.</w:t>
      </w:r>
      <w:r>
        <w:rPr>
          <w:rFonts w:ascii="Arial" w:cs="Arial" w:eastAsia="Arial" w:hAnsi="Arial"/>
          <w:color w:val="1A1A1A"/>
          <w:sz w:val="22"/>
          <w:szCs w:val="22"/>
        </w:rPr>
        <w:t xml:space="preserve"> The archive enables systematic comparison of how different model-role combinations approach the same research question, separating model-specific tendencies from structural features of the problem.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Access Rules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STANDARD INFERENCE:  Dissent Archive NOT consulted
</w:t>
      </w:r>
      <w:r>
        <w:rPr>
          <w:rFonts w:ascii="Courier New" w:cs="Courier New" w:eastAsia="Courier New" w:hAnsi="Courier New"/>
          <w:color w:val="1A3A5C"/>
          <w:sz w:val="18"/>
          <w:szCs w:val="18"/>
        </w:rPr>
        <w:br/>
        <w:t xml:space="preserve">NEW RUN INIT:        Agent MAY review prior archived sessions
</w:t>
      </w:r>
      <w:r>
        <w:rPr>
          <w:rFonts w:ascii="Courier New" w:cs="Courier New" w:eastAsia="Courier New" w:hAnsi="Courier New"/>
          <w:color w:val="1A3A5C"/>
          <w:sz w:val="18"/>
          <w:szCs w:val="18"/>
        </w:rPr>
        <w:br/>
        <w:t xml:space="preserve">ANOMALY REINTERP:    Dissent Archive accessible for reference
</w:t>
      </w:r>
      <w:r>
        <w:rPr>
          <w:rFonts w:ascii="Courier New" w:cs="Courier New" w:eastAsia="Courier New" w:hAnsi="Courier New"/>
          <w:color w:val="1A3A5C"/>
          <w:sz w:val="18"/>
          <w:szCs w:val="18"/>
        </w:rPr>
        <w:br/>
        <w:t xml:space="preserve">HIGH-DISTANCE RUNS:  Dissent Archive accessible for context
</w:t>
      </w:r>
      <w:r>
        <w:rPr>
          <w:rFonts w:ascii="Courier New" w:cs="Courier New" w:eastAsia="Courier New" w:hAnsi="Courier New"/>
          <w:color w:val="1A3A5C"/>
          <w:sz w:val="18"/>
          <w:szCs w:val="18"/>
        </w:rPr>
        <w:br/>
        <w:t xml:space="preserve">HITL REVIEW:         Full archive accessible to human reviewer
</w:t>
      </w:r>
      <w:r>
        <w:rPr>
          <w:rFonts w:ascii="Courier New" w:cs="Courier New" w:eastAsia="Courier New" w:hAnsi="Courier New"/>
          <w:color w:val="1A3A5C"/>
          <w:sz w:val="18"/>
          <w:szCs w:val="18"/>
        </w:rPr>
        <w:t xml:space="preserve">WRITE:               Append-only — system writes, nothing deleted</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Dissent Archive accumulates not just knowledge, but the history of how knowledge was evaluated. That history grows more valuable as the system matures.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07.  </w:t>
      </w:r>
      <w:r>
        <w:rPr>
          <w:rFonts w:ascii="Arial" w:cs="Arial" w:eastAsia="Arial" w:hAnsi="Arial"/>
          <w:b/>
          <w:bCs/>
          <w:color w:val="1A3A5C"/>
          <w:sz w:val="40"/>
          <w:szCs w:val="40"/>
        </w:rPr>
        <w:t xml:space="preserve">Orchestration Layer</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Orchestration Layer: </w:t>
      </w:r>
      <w:r>
        <w:rPr>
          <w:rFonts w:ascii="Arial" w:cs="Arial" w:eastAsia="Arial" w:hAnsi="Arial"/>
          <w:i/>
          <w:iCs/>
          <w:color w:val="1A1A1A"/>
          <w:sz w:val="22"/>
          <w:szCs w:val="22"/>
        </w:rPr>
        <w:t xml:space="preserve">A deterministic finite state machine (FSM) responsible for routing, sequencing, and recording system operations — with zero interpretation, zero mutation, and zero reasoning capability.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Orchestration Layer is infrastructure. It is not intelligence. It coordinates pre-validated state transitions according to fixed rules. It does not reason about what to pass forward, does not evaluate content quality, and does not make decisions about what belongs in a package.</w:t>
      </w:r>
    </w:p>
    <w:p>
      <w:pPr>
        <w:spacing w:after="0" w:before="80"/>
      </w:pPr>
      <w:r>
        <w:t xml:space="preserve"/>
      </w:r>
    </w:p>
    <w:p>
      <w:pPr>
        <w:spacing w:after="120" w:before="80"/>
      </w:pPr>
      <w:r>
        <w:rPr>
          <w:rFonts w:ascii="Arial" w:cs="Arial" w:eastAsia="Arial" w:hAnsi="Arial"/>
          <w:color w:val="1A1A1A"/>
          <w:sz w:val="22"/>
          <w:szCs w:val="22"/>
        </w:rPr>
        <w:t xml:space="preserve">Any orchestrator behavior beyond its five defined functions introduces a hidden reasoning layer — effectively a fourth agent — that cannot be audited and reintroduces the bias the role separation was designed to eliminate. The Orchestration Layer is deterministic and transparent by design. Its behavior is fully predictable from its inputs.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Five Permitted Functions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ROUTING:              Direct packages between authenticated
</w:t>
      </w:r>
      <w:r>
        <w:rPr>
          <w:rFonts w:ascii="Courier New" w:cs="Courier New" w:eastAsia="Courier New" w:hAnsi="Courier New"/>
          <w:color w:val="1A3A5C"/>
          <w:sz w:val="18"/>
          <w:szCs w:val="18"/>
        </w:rPr>
        <w:br/>
        <w:t xml:space="preserve">                         system layers only
</w:t>
      </w:r>
      <w:r>
        <w:rPr>
          <w:rFonts w:ascii="Courier New" w:cs="Courier New" w:eastAsia="Courier New" w:hAnsi="Courier New"/>
          <w:color w:val="1A3A5C"/>
          <w:sz w:val="18"/>
          <w:szCs w:val="18"/>
        </w:rPr>
        <w:br/>
        <w:t xml:space="preserve">2. ROLE ORDER:           Enforce sequential hierarchy
</w:t>
      </w:r>
      <w:r>
        <w:rPr>
          <w:rFonts w:ascii="Courier New" w:cs="Courier New" w:eastAsia="Courier New" w:hAnsi="Courier New"/>
          <w:color w:val="1A3A5C"/>
          <w:sz w:val="18"/>
          <w:szCs w:val="18"/>
        </w:rPr>
        <w:br/>
        <w:t xml:space="preserve">                         D1 → D2 → D1 notes → D3 → HITL
</w:t>
      </w:r>
      <w:r>
        <w:rPr>
          <w:rFonts w:ascii="Courier New" w:cs="Courier New" w:eastAsia="Courier New" w:hAnsi="Courier New"/>
          <w:color w:val="1A3A5C"/>
          <w:sz w:val="18"/>
          <w:szCs w:val="18"/>
        </w:rPr>
        <w:br/>
        <w:t xml:space="preserve">3. PROVENANCE:           Append state changes to audit trail
</w:t>
      </w:r>
      <w:r>
        <w:rPr>
          <w:rFonts w:ascii="Courier New" w:cs="Courier New" w:eastAsia="Courier New" w:hAnsi="Courier New"/>
          <w:color w:val="1A3A5C"/>
          <w:sz w:val="18"/>
          <w:szCs w:val="18"/>
        </w:rPr>
        <w:br/>
        <w:t xml:space="preserve">4. SKILL EXECUTION:      Invoke sandboxed tools without
</w:t>
      </w:r>
      <w:r>
        <w:rPr>
          <w:rFonts w:ascii="Courier New" w:cs="Courier New" w:eastAsia="Courier New" w:hAnsi="Courier New"/>
          <w:color w:val="1A3A5C"/>
          <w:sz w:val="18"/>
          <w:szCs w:val="18"/>
        </w:rPr>
        <w:br/>
        <w:t xml:space="preserve">                         granting SIM/SMK access
</w:t>
      </w:r>
      <w:r>
        <w:rPr>
          <w:rFonts w:ascii="Courier New" w:cs="Courier New" w:eastAsia="Courier New" w:hAnsi="Courier New"/>
          <w:color w:val="1A3A5C"/>
          <w:sz w:val="18"/>
          <w:szCs w:val="18"/>
        </w:rPr>
        <w:br/>
        <w:t xml:space="preserve">5. RECORDING:            Log all telemetry to audit trail
</w:t>
      </w:r>
      <w:r>
        <w:rPr>
          <w:rFonts w:ascii="Courier New" w:cs="Courier New" w:eastAsia="Courier New" w:hAnsi="Courier New"/>
          <w:color w:val="1A3A5C"/>
          <w:sz w:val="18"/>
          <w:szCs w:val="18"/>
        </w:rPr>
        <w:t xml:space="preserve">                         without modification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Mandatory Prohibitions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ORCHESTRATOR_FSM_CONSTRAINTS:
</w:t>
      </w:r>
      <w:r>
        <w:rPr>
          <w:rFonts w:ascii="Courier New" w:cs="Courier New" w:eastAsia="Courier New" w:hAnsi="Courier New"/>
          <w:color w:val="1A3A5C"/>
          <w:sz w:val="18"/>
          <w:szCs w:val="18"/>
        </w:rPr>
        <w:br/>
        <w:t xml:space="preserve">  ZERO_MUTATION:        Shall not mutate data payloads
</w:t>
      </w:r>
      <w:r>
        <w:rPr>
          <w:rFonts w:ascii="Courier New" w:cs="Courier New" w:eastAsia="Courier New" w:hAnsi="Courier New"/>
          <w:color w:val="1A3A5C"/>
          <w:sz w:val="18"/>
          <w:szCs w:val="18"/>
        </w:rPr>
        <w:br/>
        <w:t xml:space="preserve">  ZERO_INTERPRETATION:  Interpretation of intent prohibited
</w:t>
      </w:r>
      <w:r>
        <w:rPr>
          <w:rFonts w:ascii="Courier New" w:cs="Courier New" w:eastAsia="Courier New" w:hAnsi="Courier New"/>
          <w:color w:val="1A3A5C"/>
          <w:sz w:val="18"/>
          <w:szCs w:val="18"/>
        </w:rPr>
        <w:br/>
        <w:t xml:space="preserve">  ZERO_SUMMARIZATION:   Summarization of content prohibited
</w:t>
      </w:r>
      <w:r>
        <w:rPr>
          <w:rFonts w:ascii="Courier New" w:cs="Courier New" w:eastAsia="Courier New" w:hAnsi="Courier New"/>
          <w:color w:val="1A3A5C"/>
          <w:sz w:val="18"/>
          <w:szCs w:val="18"/>
        </w:rPr>
        <w:br/>
        <w:t xml:space="preserve">  ZERO_SYNTHESIS:       Synthesis of new hypotheses prohibited
</w:t>
      </w:r>
      <w:r>
        <w:rPr>
          <w:rFonts w:ascii="Courier New" w:cs="Courier New" w:eastAsia="Courier New" w:hAnsi="Courier New"/>
          <w:color w:val="1A3A5C"/>
          <w:sz w:val="18"/>
          <w:szCs w:val="18"/>
        </w:rPr>
        <w:t xml:space="preserve">  ZERO_FILTERING:       Filtering or ranking content prohibited</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The Orchestration Layer moves information. It does not evaluate it. Any orchestrator that reasons about content is no longer an orchestrator — it is an undeclared agent.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08.  </w:t>
      </w:r>
      <w:r>
        <w:rPr>
          <w:rFonts w:ascii="Arial" w:cs="Arial" w:eastAsia="Arial" w:hAnsi="Arial"/>
          <w:b/>
          <w:bCs/>
          <w:color w:val="1A3A5C"/>
          <w:sz w:val="40"/>
          <w:szCs w:val="40"/>
        </w:rPr>
        <w:t xml:space="preserve">Structured Distance Measurement</w:t>
      </w:r>
      <w:r>
        <w:rPr>
          <w:rFonts w:ascii="Arial" w:cs="Arial" w:eastAsia="Arial" w:hAnsi="Arial"/>
          <w:b w:val="false"/>
          <w:bCs w:val="false"/>
          <w:color w:val="2E6DA4"/>
          <w:sz w:val="28"/>
          <w:szCs w:val="28"/>
        </w:rPr>
        <w:t xml:space="preserve">  (SDM)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SDM: </w:t>
      </w:r>
      <w:r>
        <w:rPr>
          <w:rFonts w:ascii="Arial" w:cs="Arial" w:eastAsia="Arial" w:hAnsi="Arial"/>
          <w:i/>
          <w:iCs/>
          <w:color w:val="1A1A1A"/>
          <w:sz w:val="22"/>
          <w:szCs w:val="22"/>
        </w:rPr>
        <w:t xml:space="preserve">A structured, non-probabilistic evaluation produced by Disruptor-3 that quantifies the gap between a hypothesis and full validation as defined by Material Warrant completeness and empirical feasibility — the operational implementation of the Systematic Elimination and Synthesis creativity pattern.</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Structured Distance Measurement is the primary output of Disruptor-3 and the primary decision artifact presented to HITL. It does not render a verdict. It renders a measurement — a precise articulation of what would need to be true for a hypothesis to be fully validated, and how far the current evidence is from establishing that.</w:t>
      </w:r>
    </w:p>
    <w:p>
      <w:pPr>
        <w:spacing w:after="0" w:before="80"/>
      </w:pPr>
      <w:r>
        <w:t xml:space="preserve"/>
      </w:r>
    </w:p>
    <w:p>
      <w:pPr>
        <w:spacing w:after="120" w:before="80"/>
      </w:pPr>
      <w:r>
        <w:rPr>
          <w:rFonts w:ascii="Arial" w:cs="Arial" w:eastAsia="Arial" w:hAnsi="Arial"/>
          <w:color w:val="1A1A1A"/>
          <w:sz w:val="22"/>
          <w:szCs w:val="22"/>
        </w:rPr>
        <w:t xml:space="preserve">SDM is theoretically grounded in the Systematic Elimination and Synthesis pattern of recursive human creativity [1]: the structured process of ruling out all known explanations for an observed phenomenon, then synthesizing a new theoretical construct to explain what remains. SDM operationalizes this as a governed, provenance-enforced measurement rather than a cognitive heuristic. Where the academic framework describes a thinking pattern, SDM enforces it as a structured output with a defined schema.</w:t>
      </w:r>
    </w:p>
    <w:p>
      <w:pPr>
        <w:spacing w:after="0" w:before="80"/>
      </w:pPr>
      <w:r>
        <w:t xml:space="preserve"/>
      </w:r>
    </w:p>
    <w:p>
      <w:pPr>
        <w:spacing w:after="120" w:before="80"/>
      </w:pPr>
      <w:r>
        <w:rPr>
          <w:rFonts w:ascii="Arial" w:cs="Arial" w:eastAsia="Arial" w:hAnsi="Arial"/>
          <w:color w:val="1A1A1A"/>
          <w:sz w:val="22"/>
          <w:szCs w:val="22"/>
        </w:rPr>
        <w:t xml:space="preserve">A hypothesis with a fully documented SDM and large gaps is more promotable than a hypothesis with an undocumented or vague gap assessment. The measurement is what matters, not the size of the distance. HITL determines whether the distance is worth crossing — not the system.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SDM Is Not</w:t>
      </w:r>
    </w:p>
    <w:p>
      <w:pPr>
        <w:pStyle w:val="ListParagraph"/>
        <w:numPr>
          <w:ilvl w:val="0"/>
          <w:numId w:val="2"/>
        </w:numPr>
        <w:spacing w:after="60" w:before="60"/>
      </w:pPr>
      <w:r>
        <w:rPr>
          <w:rFonts w:ascii="Arial" w:cs="Arial" w:eastAsia="Arial" w:hAnsi="Arial"/>
          <w:b/>
          <w:bCs/>
          <w:color w:val="1A1A1A"/>
          <w:sz w:val="22"/>
          <w:szCs w:val="22"/>
        </w:rPr>
        <w:t xml:space="preserve">Not a probability score.</w:t>
      </w:r>
      <w:r>
        <w:rPr>
          <w:rFonts w:ascii="Arial" w:cs="Arial" w:eastAsia="Arial" w:hAnsi="Arial"/>
          <w:color w:val="1A1A1A"/>
          <w:sz w:val="22"/>
          <w:szCs w:val="22"/>
        </w:rPr>
        <w:t xml:space="preserve"> SDM does not express likelihood. It expresses distance.</w:t>
      </w:r>
    </w:p>
    <w:p>
      <w:pPr>
        <w:pStyle w:val="ListParagraph"/>
        <w:numPr>
          <w:ilvl w:val="0"/>
          <w:numId w:val="2"/>
        </w:numPr>
        <w:spacing w:after="60" w:before="60"/>
      </w:pPr>
      <w:r>
        <w:rPr>
          <w:rFonts w:ascii="Arial" w:cs="Arial" w:eastAsia="Arial" w:hAnsi="Arial"/>
          <w:b/>
          <w:bCs/>
          <w:color w:val="1A1A1A"/>
          <w:sz w:val="22"/>
          <w:szCs w:val="22"/>
        </w:rPr>
        <w:t xml:space="preserve">Not a confidence value.</w:t>
      </w:r>
      <w:r>
        <w:rPr>
          <w:rFonts w:ascii="Arial" w:cs="Arial" w:eastAsia="Arial" w:hAnsi="Arial"/>
          <w:color w:val="1A1A1A"/>
          <w:sz w:val="22"/>
          <w:szCs w:val="22"/>
        </w:rPr>
        <w:t xml:space="preserve"> Confidence belongs to individual Material Warrants. SDM measures the aggregate gap.</w:t>
      </w:r>
    </w:p>
    <w:p>
      <w:pPr>
        <w:pStyle w:val="ListParagraph"/>
        <w:numPr>
          <w:ilvl w:val="0"/>
          <w:numId w:val="2"/>
        </w:numPr>
        <w:spacing w:after="60" w:before="60"/>
      </w:pPr>
      <w:r>
        <w:rPr>
          <w:rFonts w:ascii="Arial" w:cs="Arial" w:eastAsia="Arial" w:hAnsi="Arial"/>
          <w:b/>
          <w:bCs/>
          <w:color w:val="1A1A1A"/>
          <w:sz w:val="22"/>
          <w:szCs w:val="22"/>
        </w:rPr>
        <w:t xml:space="preserve">Not a ranking metric.</w:t>
      </w:r>
      <w:r>
        <w:rPr>
          <w:rFonts w:ascii="Arial" w:cs="Arial" w:eastAsia="Arial" w:hAnsi="Arial"/>
          <w:color w:val="1A1A1A"/>
          <w:sz w:val="22"/>
          <w:szCs w:val="22"/>
        </w:rPr>
        <w:t xml:space="preserve"> SDM does not rank proposals against each other. It measures each against empirical reality.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Four Gap Types</w:t>
      </w:r>
    </w:p>
    <w:p>
      <w:pPr>
        <w:pStyle w:val="ListParagraph"/>
        <w:numPr>
          <w:ilvl w:val="0"/>
          <w:numId w:val="2"/>
        </w:numPr>
        <w:spacing w:after="60" w:before="60"/>
      </w:pPr>
      <w:r>
        <w:rPr>
          <w:rFonts w:ascii="Arial" w:cs="Arial" w:eastAsia="Arial" w:hAnsi="Arial"/>
          <w:b/>
          <w:bCs/>
          <w:color w:val="1A1A1A"/>
          <w:sz w:val="22"/>
          <w:szCs w:val="22"/>
        </w:rPr>
        <w:t xml:space="preserve">Evidence Gap.</w:t>
      </w:r>
      <w:r>
        <w:rPr>
          <w:rFonts w:ascii="Arial" w:cs="Arial" w:eastAsia="Arial" w:hAnsi="Arial"/>
          <w:color w:val="1A1A1A"/>
          <w:sz w:val="22"/>
          <w:szCs w:val="22"/>
        </w:rPr>
        <w:t xml:space="preserve"> Missing or incomplete Material Warrants. Insufficient source support in the notebook corpus for the claims being made.</w:t>
      </w:r>
    </w:p>
    <w:p>
      <w:pPr>
        <w:pStyle w:val="ListParagraph"/>
        <w:numPr>
          <w:ilvl w:val="0"/>
          <w:numId w:val="2"/>
        </w:numPr>
        <w:spacing w:after="60" w:before="60"/>
      </w:pPr>
      <w:r>
        <w:rPr>
          <w:rFonts w:ascii="Arial" w:cs="Arial" w:eastAsia="Arial" w:hAnsi="Arial"/>
          <w:b/>
          <w:bCs/>
          <w:color w:val="1A1A1A"/>
          <w:sz w:val="22"/>
          <w:szCs w:val="22"/>
        </w:rPr>
        <w:t xml:space="preserve">Empirical Gap.</w:t>
      </w:r>
      <w:r>
        <w:rPr>
          <w:rFonts w:ascii="Arial" w:cs="Arial" w:eastAsia="Arial" w:hAnsi="Arial"/>
          <w:color w:val="1A1A1A"/>
          <w:sz w:val="22"/>
          <w:szCs w:val="22"/>
        </w:rPr>
        <w:t xml:space="preserve"> The hypothesis is not testable with current technology or requires infrastructure not available today. The gap is real but not a flaw — it is a validation cost.</w:t>
      </w:r>
    </w:p>
    <w:p>
      <w:pPr>
        <w:pStyle w:val="ListParagraph"/>
        <w:numPr>
          <w:ilvl w:val="0"/>
          <w:numId w:val="2"/>
        </w:numPr>
        <w:spacing w:after="60" w:before="60"/>
      </w:pPr>
      <w:r>
        <w:rPr>
          <w:rFonts w:ascii="Arial" w:cs="Arial" w:eastAsia="Arial" w:hAnsi="Arial"/>
          <w:b/>
          <w:bCs/>
          <w:color w:val="1A1A1A"/>
          <w:sz w:val="22"/>
          <w:szCs w:val="22"/>
        </w:rPr>
        <w:t xml:space="preserve">Logical Gap.</w:t>
      </w:r>
      <w:r>
        <w:rPr>
          <w:rFonts w:ascii="Arial" w:cs="Arial" w:eastAsia="Arial" w:hAnsi="Arial"/>
          <w:color w:val="1A1A1A"/>
          <w:sz w:val="22"/>
          <w:szCs w:val="22"/>
        </w:rPr>
        <w:t xml:space="preserve"> Incomplete causal chain between claims. Internal inconsistencies between warrants that have not been resolved.</w:t>
      </w:r>
    </w:p>
    <w:p>
      <w:pPr>
        <w:pStyle w:val="ListParagraph"/>
        <w:numPr>
          <w:ilvl w:val="0"/>
          <w:numId w:val="2"/>
        </w:numPr>
        <w:spacing w:after="60" w:before="60"/>
      </w:pPr>
      <w:r>
        <w:rPr>
          <w:rFonts w:ascii="Arial" w:cs="Arial" w:eastAsia="Arial" w:hAnsi="Arial"/>
          <w:b/>
          <w:bCs/>
          <w:color w:val="1A1A1A"/>
          <w:sz w:val="22"/>
          <w:szCs w:val="22"/>
        </w:rPr>
        <w:t xml:space="preserve">Execution Gap.</w:t>
      </w:r>
      <w:r>
        <w:rPr>
          <w:rFonts w:ascii="Arial" w:cs="Arial" w:eastAsia="Arial" w:hAnsi="Arial"/>
          <w:color w:val="1A1A1A"/>
          <w:sz w:val="22"/>
          <w:szCs w:val="22"/>
        </w:rPr>
        <w:t xml:space="preserve"> Implementation complexity not resolved. Undefined path from hypothesis to validation experiment.</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Required Output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sdm_id:              unique identifier
</w:t>
      </w:r>
      <w:r>
        <w:rPr>
          <w:rFonts w:ascii="Courier New" w:cs="Courier New" w:eastAsia="Courier New" w:hAnsi="Courier New"/>
          <w:color w:val="1A3A5C"/>
          <w:sz w:val="18"/>
          <w:szCs w:val="18"/>
        </w:rPr>
        <w:br/>
        <w:t xml:space="preserve">  hypothesis_id:       the proposal being measured
</w:t>
      </w:r>
      <w:r>
        <w:rPr>
          <w:rFonts w:ascii="Courier New" w:cs="Courier New" w:eastAsia="Courier New" w:hAnsi="Courier New"/>
          <w:color w:val="1A3A5C"/>
          <w:sz w:val="18"/>
          <w:szCs w:val="18"/>
        </w:rPr>
        <w:br/>
        <w:t xml:space="preserve">  gap_types:           [EVIDENCE|EMPIRICAL|LOGICAL|EXECUTION]
</w:t>
      </w:r>
      <w:r>
        <w:rPr>
          <w:rFonts w:ascii="Courier New" w:cs="Courier New" w:eastAsia="Courier New" w:hAnsi="Courier New"/>
          <w:color w:val="1A3A5C"/>
          <w:sz w:val="18"/>
          <w:szCs w:val="18"/>
        </w:rPr>
        <w:br/>
        <w:t xml:space="preserve">  gap_descriptions:    per gap type — specific deficiency stated
</w:t>
      </w:r>
      <w:r>
        <w:rPr>
          <w:rFonts w:ascii="Courier New" w:cs="Courier New" w:eastAsia="Courier New" w:hAnsi="Courier New"/>
          <w:color w:val="1A3A5C"/>
          <w:sz w:val="18"/>
          <w:szCs w:val="18"/>
        </w:rPr>
        <w:br/>
        <w:t xml:space="preserve">  conditions_to_close: what must be true for each gap to close
</w:t>
      </w:r>
      <w:r>
        <w:rPr>
          <w:rFonts w:ascii="Courier New" w:cs="Courier New" w:eastAsia="Courier New" w:hAnsi="Courier New"/>
          <w:color w:val="1A3A5C"/>
          <w:sz w:val="18"/>
          <w:szCs w:val="18"/>
        </w:rPr>
        <w:br/>
        <w:t xml:space="preserve">  validation_path:     estimated sequence to full validation
</w:t>
      </w:r>
      <w:r>
        <w:rPr>
          <w:rFonts w:ascii="Courier New" w:cs="Courier New" w:eastAsia="Courier New" w:hAnsi="Courier New"/>
          <w:color w:val="1A3A5C"/>
          <w:sz w:val="18"/>
          <w:szCs w:val="18"/>
        </w:rPr>
        <w:br/>
        <w:t xml:space="preserve">  d3_judgment:         which proposal is more logically sound
</w:t>
      </w:r>
      <w:r>
        <w:rPr>
          <w:rFonts w:ascii="Courier New" w:cs="Courier New" w:eastAsia="Courier New" w:hAnsi="Courier New"/>
          <w:color w:val="1A3A5C"/>
          <w:sz w:val="18"/>
          <w:szCs w:val="18"/>
        </w:rPr>
        <w:br/>
        <w:t xml:space="preserve">  timestamp:           point-in-time of measurement
</w:t>
      </w:r>
      <w:r>
        <w:rPr>
          <w:rFonts w:ascii="Courier New" w:cs="Courier New" w:eastAsia="Courier New" w:hAnsi="Courier New"/>
          <w:color w:val="1A3A5C"/>
          <w:sz w:val="18"/>
          <w:szCs w:val="18"/>
        </w:rPr>
        <w:br/>
        <w:t xml:space="preserve">  run_id:              which exchange run produced this
</w:t>
      </w:r>
      <w:r>
        <w:rPr>
          <w:rFonts w:ascii="Courier New" w:cs="Courier New" w:eastAsia="Courier New" w:hAnsi="Courier New"/>
          <w:color w:val="1A3A5C"/>
          <w:sz w:val="18"/>
          <w:szCs w:val="18"/>
        </w:rPr>
        <w:t xml:space="preserve">}</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SDM is what remains after systematic elimination. It is the map of the distance, not the verdict on whether to cross it.</w:t>
      </w:r>
    </w:p>
    <w:p>
      <w:pPr>
        <w:spacing w:after="0" w:before="80"/>
      </w:pPr>
      <w:r>
        <w:t xml:space="preserve"/>
      </w:r>
    </w:p>
    <w:p>
      <w:pPr>
        <w:spacing w:after="120" w:before="80"/>
      </w:pPr>
      <w:r>
        <w:rPr>
          <w:rFonts w:ascii="Arial" w:cs="Arial" w:eastAsia="Arial" w:hAnsi="Arial"/>
          <w:color w:val="1A1A1A"/>
          <w:sz w:val="22"/>
          <w:szCs w:val="22"/>
        </w:rPr>
        <w:t xml:space="preserve">Academic grounding: The four recursive creativity patterns — including Systematic Elimination and Synthesis — are formalized in: "Recursive Creativity: A Data-Driven Framework for Training AI to Transcend Textbook Knowledge," November 2025 [1].</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09.  </w:t>
      </w:r>
      <w:r>
        <w:rPr>
          <w:rFonts w:ascii="Arial" w:cs="Arial" w:eastAsia="Arial" w:hAnsi="Arial"/>
          <w:b/>
          <w:bCs/>
          <w:color w:val="1A3A5C"/>
          <w:sz w:val="40"/>
          <w:szCs w:val="40"/>
        </w:rPr>
        <w:t xml:space="preserve">Trust Filter Score</w:t>
      </w:r>
      <w:r>
        <w:rPr>
          <w:rFonts w:ascii="Arial" w:cs="Arial" w:eastAsia="Arial" w:hAnsi="Arial"/>
          <w:b w:val="false"/>
          <w:bCs w:val="false"/>
          <w:color w:val="2E6DA4"/>
          <w:sz w:val="28"/>
          <w:szCs w:val="28"/>
        </w:rPr>
        <w:t xml:space="preserve">  (TFS)</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TFS: </w:t>
      </w:r>
      <w:r>
        <w:rPr>
          <w:rFonts w:ascii="Arial" w:cs="Arial" w:eastAsia="Arial" w:hAnsi="Arial"/>
          <w:i/>
          <w:iCs/>
          <w:color w:val="1A1A1A"/>
          <w:sz w:val="22"/>
          <w:szCs w:val="22"/>
        </w:rPr>
        <w:t xml:space="preserve">A multi-level, stateful trust evaluation system that assesses individual hypothesis packages, tracks longitudinal agent behavior, and maintains system-wide integrity through discrete trust states and enforcement controls — without influencing promotion decisions directly.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Trust Filter Score is the nervous system of the Elosia Framework. It operates at three distinct levels simultaneously — per-package, per-agent, and system-wide — and each level serves a different governance function. Understanding these three levels and their separation is essential to understanding why TFS is not a simple pass/fail gate.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1 — Package Trust (Promotion Boundary Gate)</w:t>
      </w:r>
    </w:p>
    <w:p>
      <w:pPr>
        <w:spacing w:after="120" w:before="80"/>
      </w:pPr>
      <w:r>
        <w:rPr>
          <w:rFonts w:ascii="Arial" w:cs="Arial" w:eastAsia="Arial" w:hAnsi="Arial"/>
          <w:color w:val="1A1A1A"/>
          <w:sz w:val="22"/>
          <w:szCs w:val="22"/>
        </w:rPr>
        <w:t xml:space="preserve">A stateless evaluation of a single hypothesis package at the Promotion Boundary pre-flight check. It determines whether the package is eligible to reach HITL.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EVALUATION DIMENSIONS:
</w:t>
      </w:r>
      <w:r>
        <w:rPr>
          <w:rFonts w:ascii="Courier New" w:cs="Courier New" w:eastAsia="Courier New" w:hAnsi="Courier New"/>
          <w:color w:val="1A3A5C"/>
          <w:sz w:val="18"/>
          <w:szCs w:val="18"/>
        </w:rPr>
        <w:br/>
        <w:t xml:space="preserve">  Warrant Integrity       — all claims source-locked, typed
</w:t>
      </w:r>
      <w:r>
        <w:rPr>
          <w:rFonts w:ascii="Courier New" w:cs="Courier New" w:eastAsia="Courier New" w:hAnsi="Courier New"/>
          <w:color w:val="1A3A5C"/>
          <w:sz w:val="18"/>
          <w:szCs w:val="18"/>
        </w:rPr>
        <w:br/>
        <w:t xml:space="preserve">  Provenance Completeness — full chain intact, no missing lineage
</w:t>
      </w:r>
      <w:r>
        <w:rPr>
          <w:rFonts w:ascii="Courier New" w:cs="Courier New" w:eastAsia="Courier New" w:hAnsi="Courier New"/>
          <w:color w:val="1A3A5C"/>
          <w:sz w:val="18"/>
          <w:szCs w:val="18"/>
        </w:rPr>
        <w:br/>
        <w:t xml:space="preserve">  SMK Policy Compliance   — no role violations
</w:t>
      </w:r>
      <w:r>
        <w:rPr>
          <w:rFonts w:ascii="Courier New" w:cs="Courier New" w:eastAsia="Courier New" w:hAnsi="Courier New"/>
          <w:color w:val="1A3A5C"/>
          <w:sz w:val="18"/>
          <w:szCs w:val="18"/>
        </w:rPr>
        <w:br/>
        <w:t xml:space="preserve">  Drift / Anomaly Score   — Overwatch signals reviewed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OUTPUT:
</w:t>
      </w:r>
      <w:r>
        <w:rPr>
          <w:rFonts w:ascii="Courier New" w:cs="Courier New" w:eastAsia="Courier New" w:hAnsi="Courier New"/>
          <w:color w:val="1A3A5C"/>
          <w:sz w:val="18"/>
          <w:szCs w:val="18"/>
        </w:rPr>
        <w:br/>
        <w:t xml:space="preserve">  PASS  → eligible for HITL delivery
</w:t>
      </w:r>
      <w:r>
        <w:rPr>
          <w:rFonts w:ascii="Courier New" w:cs="Courier New" w:eastAsia="Courier New" w:hAnsi="Courier New"/>
          <w:color w:val="1A3A5C"/>
          <w:sz w:val="18"/>
          <w:szCs w:val="18"/>
        </w:rPr>
        <w:t xml:space="preserve">  FAIL  → package returned to Dissent Archive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2 — Agent Trust (Longitudinal)</w:t>
      </w:r>
    </w:p>
    <w:p>
      <w:pPr>
        <w:spacing w:after="120" w:before="80"/>
      </w:pPr>
      <w:r>
        <w:rPr>
          <w:rFonts w:ascii="Arial" w:cs="Arial" w:eastAsia="Arial" w:hAnsi="Arial"/>
          <w:color w:val="1A1A1A"/>
          <w:sz w:val="22"/>
          <w:szCs w:val="22"/>
        </w:rPr>
        <w:t xml:space="preserve">A persistent trust profile for each agent reflecting its historical behavior across all runs, exchanges, and warrant generations. This profile is hidden from the agent entirely.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TRACKED SIGNALS:
</w:t>
      </w:r>
      <w:r>
        <w:rPr>
          <w:rFonts w:ascii="Courier New" w:cs="Courier New" w:eastAsia="Courier New" w:hAnsi="Courier New"/>
          <w:color w:val="1A3A5C"/>
          <w:sz w:val="18"/>
          <w:szCs w:val="18"/>
        </w:rPr>
        <w:br/>
        <w:t xml:space="preserve">  Warrant Quality History  — VERIFIED/HIGH vs MARGINAL rate
</w:t>
      </w:r>
      <w:r>
        <w:rPr>
          <w:rFonts w:ascii="Courier New" w:cs="Courier New" w:eastAsia="Courier New" w:hAnsi="Courier New"/>
          <w:color w:val="1A3A5C"/>
          <w:sz w:val="18"/>
          <w:szCs w:val="18"/>
        </w:rPr>
        <w:br/>
        <w:t xml:space="preserve">  Drift Behavior           — Overwatch corrections, SMK violations
</w:t>
      </w:r>
      <w:r>
        <w:rPr>
          <w:rFonts w:ascii="Courier New" w:cs="Courier New" w:eastAsia="Courier New" w:hAnsi="Courier New"/>
          <w:color w:val="1A3A5C"/>
          <w:sz w:val="18"/>
          <w:szCs w:val="18"/>
        </w:rPr>
        <w:br/>
        <w:t xml:space="preserve">  RC-D Trigger Frequency   — Level 1–4 escalation counts
</w:t>
      </w:r>
      <w:r>
        <w:rPr>
          <w:rFonts w:ascii="Courier New" w:cs="Courier New" w:eastAsia="Courier New" w:hAnsi="Courier New"/>
          <w:color w:val="1A3A5C"/>
          <w:sz w:val="18"/>
          <w:szCs w:val="18"/>
        </w:rPr>
        <w:br/>
        <w:t xml:space="preserve">  Provenance Failures      — missing source links, broken chains
</w:t>
      </w:r>
      <w:r>
        <w:rPr>
          <w:rFonts w:ascii="Courier New" w:cs="Courier New" w:eastAsia="Courier New" w:hAnsi="Courier New"/>
          <w:color w:val="1A3A5C"/>
          <w:sz w:val="18"/>
          <w:szCs w:val="18"/>
        </w:rPr>
        <w:br/>
        <w:t xml:space="preserve">  HITL Outcomes            — approval, return, archive rates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AGENT TRUST STATES (Discrete):
</w:t>
      </w:r>
      <w:r>
        <w:rPr>
          <w:rFonts w:ascii="Courier New" w:cs="Courier New" w:eastAsia="Courier New" w:hAnsi="Courier New"/>
          <w:color w:val="1A3A5C"/>
          <w:sz w:val="18"/>
          <w:szCs w:val="18"/>
        </w:rPr>
        <w:br/>
        <w:t xml:space="preserve">  TRUSTED    → full autonomy within TAG constraints
</w:t>
      </w:r>
      <w:r>
        <w:rPr>
          <w:rFonts w:ascii="Courier New" w:cs="Courier New" w:eastAsia="Courier New" w:hAnsi="Courier New"/>
          <w:color w:val="1A3A5C"/>
          <w:sz w:val="18"/>
          <w:szCs w:val="18"/>
        </w:rPr>
        <w:br/>
        <w:t xml:space="preserve">  STABLE     → normal operation
</w:t>
      </w:r>
      <w:r>
        <w:rPr>
          <w:rFonts w:ascii="Courier New" w:cs="Courier New" w:eastAsia="Courier New" w:hAnsi="Courier New"/>
          <w:color w:val="1A3A5C"/>
          <w:sz w:val="18"/>
          <w:szCs w:val="18"/>
        </w:rPr>
        <w:br/>
        <w:t xml:space="preserve">  DEGRADED   → reduced scope, tighter TAG limits
</w:t>
      </w:r>
      <w:r>
        <w:rPr>
          <w:rFonts w:ascii="Courier New" w:cs="Courier New" w:eastAsia="Courier New" w:hAnsi="Courier New"/>
          <w:color w:val="1A3A5C"/>
          <w:sz w:val="18"/>
          <w:szCs w:val="18"/>
        </w:rPr>
        <w:t xml:space="preserve">  UNTRUSTED  → execution restricted, HITL required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Agents do NOT see their own Agent TFS. Agents CAN see the Master TFS system state. Agents know the climate — not their own grade.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3 — Master TFS (System-Wide)</w:t>
      </w:r>
    </w:p>
    <w:p>
      <w:pPr>
        <w:spacing w:after="120" w:before="80"/>
      </w:pPr>
      <w:r>
        <w:rPr>
          <w:rFonts w:ascii="Arial" w:cs="Arial" w:eastAsia="Arial" w:hAnsi="Arial"/>
          <w:color w:val="1A1A1A"/>
          <w:sz w:val="22"/>
          <w:szCs w:val="22"/>
        </w:rPr>
        <w:t xml:space="preserve">A global trust state derived from all active agents and recent system activity. This is the only TFS level visible to agents.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INPUTS:
</w:t>
      </w:r>
      <w:r>
        <w:rPr>
          <w:rFonts w:ascii="Courier New" w:cs="Courier New" w:eastAsia="Courier New" w:hAnsi="Courier New"/>
          <w:color w:val="1A3A5C"/>
          <w:sz w:val="18"/>
          <w:szCs w:val="18"/>
        </w:rPr>
        <w:br/>
        <w:t xml:space="preserve">  Agent trust state distribution
</w:t>
      </w:r>
      <w:r>
        <w:rPr>
          <w:rFonts w:ascii="Courier New" w:cs="Courier New" w:eastAsia="Courier New" w:hAnsi="Courier New"/>
          <w:color w:val="1A3A5C"/>
          <w:sz w:val="18"/>
          <w:szCs w:val="18"/>
        </w:rPr>
        <w:br/>
        <w:t xml:space="preserve">  Recent TFS Level 1 pass/fail ratios
</w:t>
      </w:r>
      <w:r>
        <w:rPr>
          <w:rFonts w:ascii="Courier New" w:cs="Courier New" w:eastAsia="Courier New" w:hAnsi="Courier New"/>
          <w:color w:val="1A3A5C"/>
          <w:sz w:val="18"/>
          <w:szCs w:val="18"/>
        </w:rPr>
        <w:br/>
        <w:t xml:space="preserve">  RC-D escalation frequency
</w:t>
      </w:r>
      <w:r>
        <w:rPr>
          <w:rFonts w:ascii="Courier New" w:cs="Courier New" w:eastAsia="Courier New" w:hAnsi="Courier New"/>
          <w:color w:val="1A3A5C"/>
          <w:sz w:val="18"/>
          <w:szCs w:val="18"/>
        </w:rPr>
        <w:br/>
        <w:t xml:space="preserve">  Drift event density
</w:t>
      </w:r>
      <w:r>
        <w:rPr>
          <w:rFonts w:ascii="Courier New" w:cs="Courier New" w:eastAsia="Courier New" w:hAnsi="Courier New"/>
          <w:color w:val="1A3A5C"/>
          <w:sz w:val="18"/>
          <w:szCs w:val="18"/>
        </w:rPr>
        <w:br/>
        <w:t xml:space="preserve">  HITL intervention rate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MASTER TRUST STATES (Visible to agents):
</w:t>
      </w:r>
      <w:r>
        <w:rPr>
          <w:rFonts w:ascii="Courier New" w:cs="Courier New" w:eastAsia="Courier New" w:hAnsi="Courier New"/>
          <w:color w:val="1A3A5C"/>
          <w:sz w:val="18"/>
          <w:szCs w:val="18"/>
        </w:rPr>
        <w:br/>
        <w:t xml:space="preserve">  HEALTHY        → normal operation
</w:t>
      </w:r>
      <w:r>
        <w:rPr>
          <w:rFonts w:ascii="Courier New" w:cs="Courier New" w:eastAsia="Courier New" w:hAnsi="Courier New"/>
          <w:color w:val="1A3A5C"/>
          <w:sz w:val="18"/>
          <w:szCs w:val="18"/>
        </w:rPr>
        <w:br/>
        <w:t xml:space="preserve">  ELEVATED RISK  → increased monitoring
</w:t>
      </w:r>
      <w:r>
        <w:rPr>
          <w:rFonts w:ascii="Courier New" w:cs="Courier New" w:eastAsia="Courier New" w:hAnsi="Courier New"/>
          <w:color w:val="1A3A5C"/>
          <w:sz w:val="18"/>
          <w:szCs w:val="18"/>
        </w:rPr>
        <w:br/>
        <w:t xml:space="preserve">  DEGRADED       → reduced autonomy globally
</w:t>
      </w:r>
      <w:r>
        <w:rPr>
          <w:rFonts w:ascii="Courier New" w:cs="Courier New" w:eastAsia="Courier New" w:hAnsi="Courier New"/>
          <w:color w:val="1A3A5C"/>
          <w:sz w:val="18"/>
          <w:szCs w:val="18"/>
        </w:rPr>
        <w:t xml:space="preserve">  CRITICAL       → HITL dominance, restricted execution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Critical Safeguard — Promotion Boundary Blindness</w:t>
      </w:r>
    </w:p>
    <w:p>
      <w:pPr>
        <w:spacing w:after="120" w:before="80"/>
      </w:pPr>
      <w:r>
        <w:rPr>
          <w:rFonts w:ascii="Arial" w:cs="Arial" w:eastAsia="Arial" w:hAnsi="Arial"/>
          <w:color w:val="1A1A1A"/>
          <w:sz w:val="22"/>
          <w:szCs w:val="22"/>
        </w:rPr>
        <w:t xml:space="preserve">The Promotion Boundary evaluates packages using Level 1 TFS only. It does not consider Agent TFS history. A high-trust agent does not receive easier promotion. A low-trust agent's package is not automatically rejected.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bias from agent reputation at the Promotion Boundary. Warrants are evaluated on merit only. Agent TFS affects TAG constraints — not promotion eligibility.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Trust is not assigned. It is accumulated, degraded, and enforced. Agents know the system climate. They do not know their own standing within it.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10.  </w:t>
      </w:r>
      <w:r>
        <w:rPr>
          <w:rFonts w:ascii="Arial" w:cs="Arial" w:eastAsia="Arial" w:hAnsi="Arial"/>
          <w:b/>
          <w:bCs/>
          <w:color w:val="1A3A5C"/>
          <w:sz w:val="40"/>
          <w:szCs w:val="40"/>
        </w:rPr>
        <w:t xml:space="preserve">MicroManager Tool Access Grant</w:t>
      </w:r>
      <w:r>
        <w:rPr>
          <w:rFonts w:ascii="Arial" w:cs="Arial" w:eastAsia="Arial" w:hAnsi="Arial"/>
          <w:b w:val="false"/>
          <w:bCs w:val="false"/>
          <w:color w:val="2E6DA4"/>
          <w:sz w:val="28"/>
          <w:szCs w:val="28"/>
        </w:rPr>
        <w:t xml:space="preserve">  (TAG)</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TAG: </w:t>
      </w:r>
      <w:r>
        <w:rPr>
          <w:rFonts w:ascii="Arial" w:cs="Arial" w:eastAsia="Arial" w:hAnsi="Arial"/>
          <w:i/>
          <w:iCs/>
          <w:color w:val="1A1A1A"/>
          <w:sz w:val="22"/>
          <w:szCs w:val="22"/>
        </w:rPr>
        <w:t xml:space="preserve">A signed, time-bound, scope-limited execution credential issued by MicroManager that authorizes an agent to perform specific actions within defined constraints — the only instrument that permits tool execution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Tool Access Grant is the enforcement backbone of the Elosia Framework. No tool executes without a TAG. No TAG can be extended once issued. No TAG can be forged, replayed, or bypassed. These are not guidelines — they are hard architectural constraints enforced at the code level by MicroManager.</w:t>
      </w:r>
    </w:p>
    <w:p>
      <w:pPr>
        <w:spacing w:after="0" w:before="80"/>
      </w:pPr>
      <w:r>
        <w:t xml:space="preserve"/>
      </w:r>
    </w:p>
    <w:p>
      <w:pPr>
        <w:spacing w:after="120" w:before="80"/>
      </w:pPr>
      <w:r>
        <w:rPr>
          <w:rFonts w:ascii="Arial" w:cs="Arial" w:eastAsia="Arial" w:hAnsi="Arial"/>
          <w:color w:val="1A1A1A"/>
          <w:sz w:val="22"/>
          <w:szCs w:val="22"/>
        </w:rPr>
        <w:t xml:space="preserve">MicroManager is Cognitive IAM — Identity and Access Management for agents. Before any tool runs, MicroManager classifies intent, validates policy against SMK boundaries via CoreSentry, checks for behavioral drift via Overwatch, and issues a TAG only if all three stages pass. The TAG is the signed output of that decision pipeline.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tag_id:              unique identifier — non-replayable
</w:t>
      </w:r>
      <w:r>
        <w:rPr>
          <w:rFonts w:ascii="Courier New" w:cs="Courier New" w:eastAsia="Courier New" w:hAnsi="Courier New"/>
          <w:color w:val="1A3A5C"/>
          <w:sz w:val="18"/>
          <w:szCs w:val="18"/>
        </w:rPr>
        <w:br/>
        <w:t xml:space="preserve">  authorized_tools:    [list of approved tools]
</w:t>
      </w:r>
      <w:r>
        <w:rPr>
          <w:rFonts w:ascii="Courier New" w:cs="Courier New" w:eastAsia="Courier New" w:hAnsi="Courier New"/>
          <w:color w:val="1A3A5C"/>
          <w:sz w:val="18"/>
          <w:szCs w:val="18"/>
        </w:rPr>
        <w:br/>
        <w:t xml:space="preserve">  max_calls_per_tool:  { tool_id: limit }
</w:t>
      </w:r>
      <w:r>
        <w:rPr>
          <w:rFonts w:ascii="Courier New" w:cs="Courier New" w:eastAsia="Courier New" w:hAnsi="Courier New"/>
          <w:color w:val="1A3A5C"/>
          <w:sz w:val="18"/>
          <w:szCs w:val="18"/>
        </w:rPr>
        <w:br/>
        <w:t xml:space="preserve">  total_call_limit:    sum of all per-tool limits
</w:t>
      </w:r>
      <w:r>
        <w:rPr>
          <w:rFonts w:ascii="Courier New" w:cs="Courier New" w:eastAsia="Courier New" w:hAnsi="Courier New"/>
          <w:color w:val="1A3A5C"/>
          <w:sz w:val="18"/>
          <w:szCs w:val="18"/>
        </w:rPr>
        <w:br/>
        <w:t xml:space="preserve">  source_budget:       300 sources max per session
</w:t>
      </w:r>
      <w:r>
        <w:rPr>
          <w:rFonts w:ascii="Courier New" w:cs="Courier New" w:eastAsia="Courier New" w:hAnsi="Courier New"/>
          <w:color w:val="1A3A5C"/>
          <w:sz w:val="18"/>
          <w:szCs w:val="18"/>
        </w:rPr>
        <w:br/>
        <w:t xml:space="preserve">  valid_from:          timestamp
</w:t>
      </w:r>
      <w:r>
        <w:rPr>
          <w:rFonts w:ascii="Courier New" w:cs="Courier New" w:eastAsia="Courier New" w:hAnsi="Courier New"/>
          <w:color w:val="1A3A5C"/>
          <w:sz w:val="18"/>
          <w:szCs w:val="18"/>
        </w:rPr>
        <w:br/>
        <w:t xml:space="preserve">  valid_until:         valid_from + role_max_duration
</w:t>
      </w:r>
      <w:r>
        <w:rPr>
          <w:rFonts w:ascii="Courier New" w:cs="Courier New" w:eastAsia="Courier New" w:hAnsi="Courier New"/>
          <w:color w:val="1A3A5C"/>
          <w:sz w:val="18"/>
          <w:szCs w:val="18"/>
        </w:rPr>
        <w:br/>
        <w:t xml:space="preserve">  data_scope:          classification of accessible data
</w:t>
      </w:r>
      <w:r>
        <w:rPr>
          <w:rFonts w:ascii="Courier New" w:cs="Courier New" w:eastAsia="Courier New" w:hAnsi="Courier New"/>
          <w:color w:val="1A3A5C"/>
          <w:sz w:val="18"/>
          <w:szCs w:val="18"/>
        </w:rPr>
        <w:br/>
        <w:t xml:space="preserve">  access_mode:         read_only | read_write
</w:t>
      </w:r>
      <w:r>
        <w:rPr>
          <w:rFonts w:ascii="Courier New" w:cs="Courier New" w:eastAsia="Courier New" w:hAnsi="Courier New"/>
          <w:color w:val="1A3A5C"/>
          <w:sz w:val="18"/>
          <w:szCs w:val="18"/>
        </w:rPr>
        <w:br/>
        <w:t xml:space="preserve">  status:              ACTIVE | EXPIRED | REVOKED | EXHAUSTED
</w:t>
      </w:r>
      <w:r>
        <w:rPr>
          <w:rFonts w:ascii="Courier New" w:cs="Courier New" w:eastAsia="Courier New" w:hAnsi="Courier New"/>
          <w:color w:val="1A3A5C"/>
          <w:sz w:val="18"/>
          <w:szCs w:val="18"/>
        </w:rPr>
        <w:br/>
        <w:t xml:space="preserve">  call_counts:         { tool_id: current_count }
</w:t>
      </w:r>
      <w:r>
        <w:rPr>
          <w:rFonts w:ascii="Courier New" w:cs="Courier New" w:eastAsia="Courier New" w:hAnsi="Courier New"/>
          <w:color w:val="1A3A5C"/>
          <w:sz w:val="18"/>
          <w:szCs w:val="18"/>
        </w:rPr>
        <w:br/>
        <w:t xml:space="preserve">  agent_trust_applied: TRUSTED|STABLE|DEGRADED|UNTRUSTED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Lifecycle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Task received by agent
</w:t>
      </w:r>
      <w:r>
        <w:rPr>
          <w:rFonts w:ascii="Courier New" w:cs="Courier New" w:eastAsia="Courier New" w:hAnsi="Courier New"/>
          <w:color w:val="1A3A5C"/>
          <w:sz w:val="18"/>
          <w:szCs w:val="18"/>
        </w:rPr>
        <w:br/>
        <w:t xml:space="preserve">2. MicroManager: Intent Classification
</w:t>
      </w:r>
      <w:r>
        <w:rPr>
          <w:rFonts w:ascii="Courier New" w:cs="Courier New" w:eastAsia="Courier New" w:hAnsi="Courier New"/>
          <w:color w:val="1A3A5C"/>
          <w:sz w:val="18"/>
          <w:szCs w:val="18"/>
        </w:rPr>
        <w:br/>
        <w:t xml:space="preserve">3. CoreSentry: SMK policy validation
</w:t>
      </w:r>
      <w:r>
        <w:rPr>
          <w:rFonts w:ascii="Courier New" w:cs="Courier New" w:eastAsia="Courier New" w:hAnsi="Courier New"/>
          <w:color w:val="1A3A5C"/>
          <w:sz w:val="18"/>
          <w:szCs w:val="18"/>
        </w:rPr>
        <w:br/>
        <w:t xml:space="preserve">   → DENIED: stop — no TAG issued
</w:t>
      </w:r>
      <w:r>
        <w:rPr>
          <w:rFonts w:ascii="Courier New" w:cs="Courier New" w:eastAsia="Courier New" w:hAnsi="Courier New"/>
          <w:color w:val="1A3A5C"/>
          <w:sz w:val="18"/>
          <w:szCs w:val="18"/>
        </w:rPr>
        <w:br/>
        <w:t xml:space="preserve">4. Overwatch: Drift and anomaly detection
</w:t>
      </w:r>
      <w:r>
        <w:rPr>
          <w:rFonts w:ascii="Courier New" w:cs="Courier New" w:eastAsia="Courier New" w:hAnsi="Courier New"/>
          <w:color w:val="1A3A5C"/>
          <w:sz w:val="18"/>
          <w:szCs w:val="18"/>
        </w:rPr>
        <w:br/>
        <w:t xml:space="preserve">   → ESCALATE: stop — HITL required
</w:t>
      </w:r>
      <w:r>
        <w:rPr>
          <w:rFonts w:ascii="Courier New" w:cs="Courier New" w:eastAsia="Courier New" w:hAnsi="Courier New"/>
          <w:color w:val="1A3A5C"/>
          <w:sz w:val="18"/>
          <w:szCs w:val="18"/>
        </w:rPr>
        <w:br/>
        <w:t xml:space="preserve">   → APPROVE_WITH_FLAG: TAG issued, limits reduced 50%
</w:t>
      </w:r>
      <w:r>
        <w:rPr>
          <w:rFonts w:ascii="Courier New" w:cs="Courier New" w:eastAsia="Courier New" w:hAnsi="Courier New"/>
          <w:color w:val="1A3A5C"/>
          <w:sz w:val="18"/>
          <w:szCs w:val="18"/>
        </w:rPr>
        <w:br/>
        <w:t xml:space="preserve">5. TAG issued — signed credential
</w:t>
      </w:r>
      <w:r>
        <w:rPr>
          <w:rFonts w:ascii="Courier New" w:cs="Courier New" w:eastAsia="Courier New" w:hAnsi="Courier New"/>
          <w:color w:val="1A3A5C"/>
          <w:sz w:val="18"/>
          <w:szCs w:val="18"/>
        </w:rPr>
        <w:br/>
        <w:t xml:space="preserve">6. Execution Sandbox: every tool call verified against TAG
</w:t>
      </w:r>
      <w:r>
        <w:rPr>
          <w:rFonts w:ascii="Courier New" w:cs="Courier New" w:eastAsia="Courier New" w:hAnsi="Courier New"/>
          <w:color w:val="1A3A5C"/>
          <w:sz w:val="18"/>
          <w:szCs w:val="18"/>
        </w:rPr>
        <w:br/>
        <w:t xml:space="preserve">7. Violation tracking: 3 violations → TAG revoked immediately
</w:t>
      </w:r>
      <w:r>
        <w:rPr>
          <w:rFonts w:ascii="Courier New" w:cs="Courier New" w:eastAsia="Courier New" w:hAnsi="Courier New"/>
          <w:color w:val="1A3A5C"/>
          <w:sz w:val="18"/>
          <w:szCs w:val="18"/>
        </w:rPr>
        <w:t xml:space="preserve">8. Session close: TAG audit log → Trust Ledger → feeds Agent TFS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Budget as TAG Constraint</w:t>
      </w:r>
    </w:p>
    <w:p>
      <w:pPr>
        <w:spacing w:after="120" w:before="80"/>
      </w:pPr>
      <w:r>
        <w:rPr>
          <w:rFonts w:ascii="Arial" w:cs="Arial" w:eastAsia="Arial" w:hAnsi="Arial"/>
          <w:color w:val="1A1A1A"/>
          <w:sz w:val="22"/>
          <w:szCs w:val="22"/>
        </w:rPr>
        <w:t xml:space="preserve">The TAG includes a source budget as a hard constraint — the same way it enforces call limits on tools. The agent's remaining source budget is visible during the session.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source_budget: 300    (hard limit per session)
</w:t>
      </w:r>
      <w:r>
        <w:rPr>
          <w:rFonts w:ascii="Courier New" w:cs="Courier New" w:eastAsia="Courier New" w:hAnsi="Courier New"/>
          <w:color w:val="1A3A5C"/>
          <w:sz w:val="18"/>
          <w:szCs w:val="18"/>
        </w:rPr>
        <w:br/>
        <w:t xml:space="preserve">warning_soft:  250    (agent notified)
</w:t>
      </w:r>
      <w:r>
        <w:rPr>
          <w:rFonts w:ascii="Courier New" w:cs="Courier New" w:eastAsia="Courier New" w:hAnsi="Courier New"/>
          <w:color w:val="1A3A5C"/>
          <w:sz w:val="18"/>
          <w:szCs w:val="18"/>
        </w:rPr>
        <w:br/>
        <w:t xml:space="preserve">warning_hard:  280    (final warning)
</w:t>
      </w:r>
      <w:r>
        <w:rPr>
          <w:rFonts w:ascii="Courier New" w:cs="Courier New" w:eastAsia="Courier New" w:hAnsi="Courier New"/>
          <w:color w:val="1A3A5C"/>
          <w:sz w:val="18"/>
          <w:szCs w:val="18"/>
        </w:rPr>
        <w:br/>
        <w:t xml:space="preserve">hard_stop:     300    (intake function locked)
</w:t>
      </w:r>
      <w:r>
        <w:rPr>
          <w:rFonts w:ascii="Courier New" w:cs="Courier New" w:eastAsia="Courier New" w:hAnsi="Courier New"/>
          <w:color w:val="1A3A5C"/>
          <w:sz w:val="18"/>
          <w:szCs w:val="18"/>
        </w:rPr>
        <w:t xml:space="preserve">internal_weight: 0.5  (prior session notes)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Agent Trust Impact on TAG</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TRUSTED    → Full call limits, full source budget
</w:t>
      </w:r>
      <w:r>
        <w:rPr>
          <w:rFonts w:ascii="Courier New" w:cs="Courier New" w:eastAsia="Courier New" w:hAnsi="Courier New"/>
          <w:color w:val="1A3A5C"/>
          <w:sz w:val="18"/>
          <w:szCs w:val="18"/>
        </w:rPr>
        <w:br/>
        <w:t xml:space="preserve">STABLE     → Normal operation
</w:t>
      </w:r>
      <w:r>
        <w:rPr>
          <w:rFonts w:ascii="Courier New" w:cs="Courier New" w:eastAsia="Courier New" w:hAnsi="Courier New"/>
          <w:color w:val="1A3A5C"/>
          <w:sz w:val="18"/>
          <w:szCs w:val="18"/>
        </w:rPr>
        <w:br/>
        <w:t xml:space="preserve">DEGRADED   → Call limits reduced, source budget restricted
</w:t>
      </w:r>
      <w:r>
        <w:rPr>
          <w:rFonts w:ascii="Courier New" w:cs="Courier New" w:eastAsia="Courier New" w:hAnsi="Courier New"/>
          <w:color w:val="1A3A5C"/>
          <w:sz w:val="18"/>
          <w:szCs w:val="18"/>
        </w:rPr>
        <w:t xml:space="preserve">UNTRUSTED  → Minimum scope, HITL approval required to execute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TAG = No Execution. A TAG cannot be extended. A new TAG requires a new MicroManager request through the full pipeline. Three violations revoke the TAG immediately and permanently for that session.</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TAG is not optional governance. It is the gate. MicroManager answers exactly one question before any tool runs: is this agent authorized to do this, right now, within these bounds?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Governance Principles Summary</w:t>
      </w:r>
    </w:p>
    <w:p>
      <w:pPr>
        <w:spacing w:after="120" w:before="80"/>
      </w:pPr>
      <w:r>
        <w:rPr>
          <w:rFonts w:ascii="Arial" w:cs="Arial" w:eastAsia="Arial" w:hAnsi="Arial"/>
          <w:color w:val="1A1A1A"/>
          <w:sz w:val="22"/>
          <w:szCs w:val="22"/>
        </w:rPr>
        <w:t xml:space="preserve">The following principles are distilled from the ten canonical definitions. They are non-negotiable architectural invariants of the Elosia Framework.</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01  The SIM is the agent's accumulated record of what the system has confirmed it knows. It is written by approval, not by inference.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02  The SMK is the constitution of the system. The SIM is the agent's career record. Neither is a research tool.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03  The Notebook Corpus is fuel, not truth. What becomes truth is only what survives the full agent exchange, empirical arbitration, and explicit human approval.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04  A Material Warrant does not make the agent smarter. It makes the agent's outputs checkable.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05  HITL approval writes to the agent SIM only. No agent output, no automated process, and no HITL action can write to the SMK. SIM-to-SMK promotion is architecturally impossible. SMK updates require separate authored governance amendments.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06  The Dissent Archive accumulates not just knowledge, but the history of how knowledge was evaluated.</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07  The Orchestration Layer moves information. It does not evaluate it. Any orchestrator that reasons about content is an undeclared agent.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08  SDM is what remains after systematic elimination. It is the map of the distance — not the verdict on whether to cross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09  Trust is not assigned. It is accumulated, degraded, and enforced. Agents know the system climate. They do not know their own standing within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10  No TAG = No Execution. The TAG is the gate, not a guideline.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"Recursive Creativity: A Data-Driven Framework for Training AI to Transcend Textbook Knowledge," November 2025. Provides the theoretical foundation for the four recursive creativity patterns operationalized in the Disruptor agent role design and Structured Distance Measurement.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 Public-facing framework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Elosia Ecosystem Inc., "MicroManager: Cognitive IAM for Autonomous Agents," ELOSIA-BDRDF-001, May 2026. MicroManager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Elosia Ecosystem Inc., "The Archivist: Material Warrant Edition," ELOSIA-ARCHIVIST-001, May 2026. Archivist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MIT Libraries, "Citation style guides," Massachusetts Institute of Technology. [Online]. Available: https://libguides.mit.edu/citing</w:t>
      </w:r>
    </w:p>
    <w:p>
      <w:pPr>
        <w:spacing w:after="0" w:before="80"/>
      </w:pPr>
      <w:r>
        <w:t xml:space="preserve"/>
      </w:r>
    </w:p>
    <w:p>
      <w:pPr>
        <w:spacing w:after="0" w:before="160"/>
      </w:pPr>
      <w:r>
        <w:t xml:space="preserve"/>
      </w:r>
    </w:p>
    <w:p>
      <w:pPr>
        <w:pBdr>
          <w:top w:val="single" w:color="C0392B" w:sz="4" w:space="8"/>
          <w:bottom w:val="single" w:color="C0392B" w:sz="4" w:space="8"/>
        </w:pBdr>
        <w:spacing w:after="16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Canonical Definitions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Canonical Definitions</w:t>
    </w:r>
    <w:r>
      <w:rPr>
        <w:rFonts w:ascii="Arial" w:cs="Arial" w:eastAsia="Arial" w:hAnsi="Arial"/>
        <w:sz w:val="18"/>
        <w:szCs w:val="18"/>
      </w:rPr>
      <w:tab/>
    </w:r>
    <w:r>
      <w:rPr>
        <w:rFonts w:ascii="Arial" w:cs="Arial" w:eastAsia="Arial" w:hAnsi="Arial"/>
        <w:color w:val="888888"/>
        <w:sz w:val="18"/>
        <w:szCs w:val="18"/>
      </w:rPr>
      <w:t xml:space="preserve">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2026-05-05T03:27:42.539Z</dcterms:created>
  <dcterms:modified xsi:type="dcterms:W3CDTF">2026-05-05T03:27:42.554Z</dcterms:modified>
</cp:coreProperties>
</file>

<file path=docProps/custom.xml><?xml version="1.0" encoding="utf-8"?>
<Properties xmlns="http://schemas.openxmlformats.org/officeDocument/2006/custom-properties" xmlns:vt="http://schemas.openxmlformats.org/officeDocument/2006/docPropsVTypes"/>
</file>