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6B63" w14:textId="77777777" w:rsidR="004A7B10" w:rsidRDefault="00000000">
      <w:r>
        <w:t xml:space="preserve">Letter 1 </w:t>
      </w:r>
    </w:p>
    <w:p w14:paraId="707896AB" w14:textId="77777777" w:rsidR="004A7B10" w:rsidRDefault="004A7B10"/>
    <w:p w14:paraId="5D3918ED" w14:textId="77777777" w:rsidR="004A7B10" w:rsidRDefault="00000000">
      <w:pPr>
        <w:rPr>
          <w:b/>
          <w:bCs/>
        </w:rPr>
      </w:pPr>
      <w:r>
        <w:rPr>
          <w:b/>
          <w:bCs/>
        </w:rPr>
        <w:t>Anti-Palestinian Racism: The Antizionist Movement’s Effort to Institutionalize Antisemitism Using a Civil Rights Framework (Author: Deborah Statman)</w:t>
      </w:r>
    </w:p>
    <w:p w14:paraId="727E3135" w14:textId="4B11F4F1" w:rsidR="004A7B10" w:rsidRDefault="00000000">
      <w:r>
        <w:t>The pro-</w:t>
      </w:r>
      <w:r w:rsidR="00817072">
        <w:t>“</w:t>
      </w:r>
      <w:r>
        <w:t xml:space="preserve">Palestinian” movement is successfully advancing “Anti-Palestinian Racism” or “APR” as a long-overdue civil rights framework. It is not. APR is a carefully engineered mechanism </w:t>
      </w:r>
      <w:r w:rsidR="00817072">
        <w:t>which</w:t>
      </w:r>
      <w:r>
        <w:t xml:space="preserve"> uses the disguise of civil rights to embed antisemitic narratives into institutional policy while immunizing those narratives from challenge. </w:t>
      </w:r>
    </w:p>
    <w:p w14:paraId="6E32BAC8" w14:textId="77777777" w:rsidR="004A7B10" w:rsidRDefault="00000000">
      <w:r>
        <w:t>APR, as defined, does not protect people from unequal treatment. It protects an antisemitic movement from criticism, embeds antisemitism into official policy, and silences the members of the Jewish community and others who raise concerns about it.</w:t>
      </w:r>
    </w:p>
    <w:p w14:paraId="2B3486AA" w14:textId="77777777" w:rsidR="004A7B10" w:rsidRDefault="004A7B10"/>
    <w:p w14:paraId="191EF2EA" w14:textId="77777777" w:rsidR="004A7B10" w:rsidRDefault="00000000">
      <w:pPr>
        <w:numPr>
          <w:ilvl w:val="0"/>
          <w:numId w:val="2"/>
        </w:numPr>
        <w:pBdr>
          <w:top w:val="nil"/>
          <w:left w:val="nil"/>
          <w:bottom w:val="nil"/>
          <w:right w:val="nil"/>
          <w:between w:val="nil"/>
        </w:pBdr>
      </w:pPr>
      <w:r>
        <w:rPr>
          <w:color w:val="000000"/>
        </w:rPr>
        <w:t>What Is APR?</w:t>
      </w:r>
    </w:p>
    <w:p w14:paraId="5359B59A" w14:textId="77777777" w:rsidR="004A7B10" w:rsidRDefault="00000000">
      <w:r>
        <w:t xml:space="preserve">APR was developed by the Arab Canadian Lawyers Association (ACLA) in collaboration with the Institute for the Understanding of Anti-Palestinian Racism (IUAPR). They define APR as "a form of racism that silences, excludes, erases, stereotypes, defames or dehumanizes Palestinians </w:t>
      </w:r>
      <w:r>
        <w:rPr>
          <w:i/>
          <w:iCs/>
        </w:rPr>
        <w:t>or their narratives</w:t>
      </w:r>
      <w:r>
        <w:t xml:space="preserve">." [1]  </w:t>
      </w:r>
    </w:p>
    <w:p w14:paraId="3398B06F" w14:textId="77777777" w:rsidR="004A7B10" w:rsidRDefault="00000000">
      <w:r>
        <w:t xml:space="preserve">The definition, itself, is fatally flawed. Existing federal and state civil rights law already protect Arabs, Muslims, and “Palestinians” from discrimination on the basis of race, national origin, and religion under the Civil Rights Act of 1964 [2] and analogous state statutes. APR is legally superfluous.  </w:t>
      </w:r>
    </w:p>
    <w:p w14:paraId="03B563DA" w14:textId="77777777" w:rsidR="004A7B10" w:rsidRDefault="00000000">
      <w:r>
        <w:t xml:space="preserve">This raises the obvious question: what, then, is its actual purpose?  </w:t>
      </w:r>
    </w:p>
    <w:p w14:paraId="60C44748" w14:textId="77777777" w:rsidR="004A7B10" w:rsidRDefault="00000000">
      <w:pPr>
        <w:numPr>
          <w:ilvl w:val="0"/>
          <w:numId w:val="2"/>
        </w:numPr>
        <w:pBdr>
          <w:top w:val="nil"/>
          <w:left w:val="nil"/>
          <w:bottom w:val="nil"/>
          <w:right w:val="nil"/>
          <w:between w:val="nil"/>
        </w:pBdr>
      </w:pPr>
      <w:r>
        <w:rPr>
          <w:color w:val="000000"/>
        </w:rPr>
        <w:t xml:space="preserve">Why APR is </w:t>
      </w:r>
      <w:r>
        <w:t>N</w:t>
      </w:r>
      <w:r>
        <w:rPr>
          <w:color w:val="000000"/>
        </w:rPr>
        <w:t xml:space="preserve">ot a Civil Rights Framework </w:t>
      </w:r>
    </w:p>
    <w:p w14:paraId="64EF91FC" w14:textId="7F4E3680" w:rsidR="004A7B10" w:rsidRDefault="00000000">
      <w:r>
        <w:t>The foundational principle of civil rights law is straightforward; it protects people from unequal ”treatment”</w:t>
      </w:r>
      <w:r w:rsidR="006B0EFF">
        <w:t xml:space="preserve">, </w:t>
      </w:r>
      <w:r>
        <w:t xml:space="preserve">not from disagreement with “ideas.” APR abandons this principle entirely. </w:t>
      </w:r>
    </w:p>
    <w:p w14:paraId="55C061EA" w14:textId="77777777" w:rsidR="004A7B10" w:rsidRDefault="00000000">
      <w:r>
        <w:t xml:space="preserve">The phrase "or their narratives" in APR's definition, is telling.  By extending protection to narratives, specifically, claims about Israel, Zionism, and Jewish history, APR redefines disagreement as racism.  The practical implications expose the fraud:  </w:t>
      </w:r>
    </w:p>
    <w:p w14:paraId="50792107" w14:textId="77777777" w:rsidR="004A7B10" w:rsidRDefault="00000000">
      <w:r>
        <w:t xml:space="preserve">Under APR: </w:t>
      </w:r>
    </w:p>
    <w:p w14:paraId="51F4ED46" w14:textId="77777777" w:rsidR="004A7B10" w:rsidRDefault="00000000">
      <w:pPr>
        <w:numPr>
          <w:ilvl w:val="0"/>
          <w:numId w:val="7"/>
        </w:numPr>
        <w:spacing w:after="0"/>
      </w:pPr>
      <w:r>
        <w:t>challenging accusations of Israel’s genocide becomes racial discrimination,</w:t>
      </w:r>
    </w:p>
    <w:p w14:paraId="3C3F6734" w14:textId="507D5726" w:rsidR="004A7B10" w:rsidRDefault="00000000">
      <w:pPr>
        <w:numPr>
          <w:ilvl w:val="0"/>
          <w:numId w:val="7"/>
        </w:numPr>
        <w:spacing w:after="0"/>
      </w:pPr>
      <w:r>
        <w:lastRenderedPageBreak/>
        <w:t xml:space="preserve">opposing BDS, an antisemitic boycott movement </w:t>
      </w:r>
      <w:r w:rsidR="00817072">
        <w:t>which</w:t>
      </w:r>
      <w:r>
        <w:t xml:space="preserve"> singles out the Jewish state for treatment, but applied to no other nation, is racism, and</w:t>
      </w:r>
    </w:p>
    <w:p w14:paraId="67670862" w14:textId="77777777" w:rsidR="004A7B10" w:rsidRDefault="00000000">
      <w:pPr>
        <w:numPr>
          <w:ilvl w:val="0"/>
          <w:numId w:val="7"/>
        </w:numPr>
      </w:pPr>
      <w:r>
        <w:t xml:space="preserve">Supporting Israel's right to exist makes you a racist. </w:t>
      </w:r>
    </w:p>
    <w:p w14:paraId="76B99747" w14:textId="77777777" w:rsidR="004A7B10" w:rsidRDefault="00000000">
      <w:r>
        <w:t>APR does not protect people from hatred. It protects antizionism, a racist ideology, from accountability.</w:t>
      </w:r>
    </w:p>
    <w:p w14:paraId="48ED6C6A" w14:textId="12593A43" w:rsidR="004A7B10" w:rsidRDefault="00000000">
      <w:r>
        <w:t>A further fatal flaw is that it extends its protections to non-Arab, non-Muslim, non-”</w:t>
      </w:r>
      <w:r w:rsidR="006B0EFF">
        <w:t>Palestinian” ”allies</w:t>
      </w:r>
      <w:r>
        <w:t xml:space="preserve">," effectively treating individuals as members of a legally protected class based solely on their advocacy position.  This is not a legitimate civil rights framework. A difference of opinion, without more, is not discrimination.  </w:t>
      </w:r>
    </w:p>
    <w:p w14:paraId="5764EE75" w14:textId="77777777" w:rsidR="004A7B10" w:rsidRDefault="00000000">
      <w:pPr>
        <w:numPr>
          <w:ilvl w:val="0"/>
          <w:numId w:val="2"/>
        </w:numPr>
        <w:pBdr>
          <w:top w:val="nil"/>
          <w:left w:val="nil"/>
          <w:bottom w:val="nil"/>
          <w:right w:val="nil"/>
          <w:between w:val="nil"/>
        </w:pBdr>
      </w:pPr>
      <w:r>
        <w:rPr>
          <w:color w:val="000000"/>
        </w:rPr>
        <w:t>A Vehicle for Antisemitism</w:t>
      </w:r>
    </w:p>
    <w:p w14:paraId="561CD113" w14:textId="77777777" w:rsidR="004A7B10" w:rsidRDefault="00000000">
      <w:r>
        <w:t>APR's central deception is structural: it embeds antisemitic narratives into official frameworks — then shields those narratives from challenge by labeling any criticism as racism. This is a calculated strategy; the deliberate shift of antisemitic expression into ostensibly antizionist language through another tool of warfare, the civil rights platform. (See Global Peace for Israel’s article titled A</w:t>
      </w:r>
      <w:r>
        <w:rPr>
          <w:i/>
          <w:iCs/>
        </w:rPr>
        <w:t>ntizionism: Today’s New Jew Hatred</w:t>
      </w:r>
      <w:r>
        <w:t xml:space="preserve">). </w:t>
      </w:r>
    </w:p>
    <w:p w14:paraId="2A8DA630" w14:textId="332BF186" w:rsidR="004A7B10" w:rsidRDefault="00000000">
      <w:r>
        <w:t xml:space="preserve">Organizations promoting APR routinely characterize Israelis and Jews as "settler colonialists" and accuse them of “ethnic cleansing” “genocide” and “apartheid,” treating these characterizations as established fact </w:t>
      </w:r>
      <w:r w:rsidR="00132CA2">
        <w:t>which</w:t>
      </w:r>
      <w:r>
        <w:t xml:space="preserve"> institutions are obligated to accept. [3]  By extending civil rights protections to narratives, let alone antisemitic false narratives, APR effectively transforms fact-based evidence or truth-telling into a civil rights violation.</w:t>
      </w:r>
    </w:p>
    <w:p w14:paraId="172D4293" w14:textId="4DADE88C" w:rsidR="004A7B10" w:rsidRDefault="00000000">
      <w:r>
        <w:t xml:space="preserve">APR does not merely shield an ideology. It erases Jewish identity and history. The narratives </w:t>
      </w:r>
      <w:r w:rsidR="0082097F">
        <w:t xml:space="preserve">which </w:t>
      </w:r>
      <w:r>
        <w:t xml:space="preserve">APR protects categorically deny Jewish ties to their ancestral land; any Jewish person who asserts the historical, religious, and cultural foundations of </w:t>
      </w:r>
      <w:r w:rsidR="004660F4">
        <w:t>his</w:t>
      </w:r>
      <w:r>
        <w:t xml:space="preserve"> own identity can be accused, under APR, of racism. The framework does not just silence Jewish voices. It delegitimizes Jewish existence itself.</w:t>
      </w:r>
    </w:p>
    <w:p w14:paraId="3E5FD1A7" w14:textId="77777777" w:rsidR="004A7B10" w:rsidRDefault="00000000">
      <w:pPr>
        <w:numPr>
          <w:ilvl w:val="0"/>
          <w:numId w:val="2"/>
        </w:numPr>
      </w:pPr>
      <w:r>
        <w:t xml:space="preserve">The Institutionalization of APR - A Clear and Present Danger  </w:t>
      </w:r>
    </w:p>
    <w:p w14:paraId="7CFABBBF" w14:textId="23BF11E9" w:rsidR="004A7B10" w:rsidRDefault="00000000">
      <w:r>
        <w:t>APR is no longer a simple advocacy position. It is being actively introduced, accepted and normalized through various frameworks and institutions</w:t>
      </w:r>
      <w:r w:rsidR="0082097F">
        <w:t>,</w:t>
      </w:r>
      <w:r>
        <w:t xml:space="preserve"> including </w:t>
      </w:r>
      <w:r w:rsidR="0082097F">
        <w:t xml:space="preserve">those </w:t>
      </w:r>
      <w:r>
        <w:t>in local government,  professional associations</w:t>
      </w:r>
      <w:r w:rsidR="004660F4">
        <w:t>,</w:t>
      </w:r>
      <w:r>
        <w:t xml:space="preserve"> and on university campuses. [4]  </w:t>
      </w:r>
    </w:p>
    <w:p w14:paraId="3A01848D" w14:textId="07F085FA" w:rsidR="004A7B10" w:rsidRDefault="00000000">
      <w:r>
        <w:t xml:space="preserve">These frameworks then migrate to other institutions, and each adoption normalizes the next. This is how antizionist institutional capture works: not through force, but through frameworks where antisemitism becomes the official truth and </w:t>
      </w:r>
      <w:r w:rsidR="004660F4">
        <w:t xml:space="preserve">is </w:t>
      </w:r>
      <w:r>
        <w:t>adopted into public policy. This time under the banner of civil rights. That, however, is not a civil rights protection but</w:t>
      </w:r>
      <w:r w:rsidR="00CA71AA">
        <w:t xml:space="preserve"> an</w:t>
      </w:r>
      <w:r>
        <w:t xml:space="preserve"> ideological capture.       </w:t>
      </w:r>
    </w:p>
    <w:p w14:paraId="6746D9EE" w14:textId="77777777" w:rsidR="004A7B10" w:rsidRDefault="00000000">
      <w:r>
        <w:lastRenderedPageBreak/>
        <w:t xml:space="preserve">  </w:t>
      </w:r>
    </w:p>
    <w:p w14:paraId="24236EF5" w14:textId="77777777" w:rsidR="004A7B10" w:rsidRDefault="00000000">
      <w:pPr>
        <w:numPr>
          <w:ilvl w:val="0"/>
          <w:numId w:val="2"/>
        </w:numPr>
        <w:pBdr>
          <w:top w:val="nil"/>
          <w:left w:val="nil"/>
          <w:bottom w:val="nil"/>
          <w:right w:val="nil"/>
          <w:between w:val="nil"/>
        </w:pBdr>
      </w:pPr>
      <w:r>
        <w:rPr>
          <w:color w:val="000000"/>
        </w:rPr>
        <w:t>Conclusion</w:t>
      </w:r>
    </w:p>
    <w:p w14:paraId="7E646B44" w14:textId="16E2E913" w:rsidR="004A7B10" w:rsidRDefault="00000000">
      <w:r>
        <w:t xml:space="preserve">The key danger is the institutionalization of a framework </w:t>
      </w:r>
      <w:r w:rsidR="00CA71AA">
        <w:t>which</w:t>
      </w:r>
      <w:r>
        <w:t xml:space="preserve"> treats antisemitic lies or falsehoods as official truth or fact, </w:t>
      </w:r>
      <w:r w:rsidR="00CA71AA">
        <w:t>which</w:t>
      </w:r>
      <w:r>
        <w:t xml:space="preserve"> treats disagreement as discrimination, and </w:t>
      </w:r>
      <w:r w:rsidR="004660F4">
        <w:t xml:space="preserve">finally </w:t>
      </w:r>
      <w:r>
        <w:t xml:space="preserve">enshrines antisemitism into public policy under a civil rights enforcement. </w:t>
      </w:r>
    </w:p>
    <w:p w14:paraId="6D740DBB" w14:textId="77777777" w:rsidR="004A7B10" w:rsidRDefault="00000000">
      <w:r>
        <w:t xml:space="preserve">A genuine commitment to civil rights demands that we protect all people from unequal treatment. That includes the Jewish people. </w:t>
      </w:r>
    </w:p>
    <w:p w14:paraId="183FACDB" w14:textId="77777777" w:rsidR="004A7B10" w:rsidRDefault="00000000">
      <w:r>
        <w:t>This is intended as an Executive Summary. Please see our full article on the Global Peace for Israel website.</w:t>
      </w:r>
    </w:p>
    <w:p w14:paraId="5DD71304" w14:textId="77777777" w:rsidR="004A7B10" w:rsidRDefault="004A7B10"/>
    <w:p w14:paraId="1F0168E8" w14:textId="77777777" w:rsidR="004A7B10" w:rsidRDefault="00000000">
      <w:r>
        <w:t xml:space="preserve">Footnotes </w:t>
      </w:r>
    </w:p>
    <w:p w14:paraId="142247B4" w14:textId="77777777" w:rsidR="004A7B10" w:rsidRDefault="00000000">
      <w:r>
        <w:t xml:space="preserve">[1] </w:t>
      </w:r>
    </w:p>
    <w:p w14:paraId="02257972" w14:textId="77777777" w:rsidR="004A7B10" w:rsidRDefault="00000000">
      <w:hyperlink r:id="rId7">
        <w:r>
          <w:rPr>
            <w:color w:val="0563C1"/>
            <w:u w:val="single"/>
          </w:rPr>
          <w:t>https://antipalestinianracism.org/</w:t>
        </w:r>
      </w:hyperlink>
      <w:r>
        <w:t xml:space="preserve"> </w:t>
      </w:r>
    </w:p>
    <w:p w14:paraId="72B0AE9A" w14:textId="77777777" w:rsidR="004A7B10" w:rsidRDefault="00000000">
      <w:hyperlink r:id="rId8">
        <w:r>
          <w:rPr>
            <w:color w:val="0563C1"/>
            <w:u w:val="single"/>
          </w:rPr>
          <w:t>https://www.antipalestinianracism.com/</w:t>
        </w:r>
      </w:hyperlink>
    </w:p>
    <w:p w14:paraId="7F273FE2" w14:textId="77777777" w:rsidR="004A7B10" w:rsidRDefault="00000000">
      <w:hyperlink r:id="rId9">
        <w:r>
          <w:rPr>
            <w:color w:val="0563C1"/>
            <w:u w:val="single"/>
          </w:rPr>
          <w:t>https://www.canarablaw.org/anti-palestinian-racism</w:t>
        </w:r>
      </w:hyperlink>
    </w:p>
    <w:p w14:paraId="1FCAAE46" w14:textId="77777777" w:rsidR="004A7B10" w:rsidRDefault="00000000">
      <w:hyperlink r:id="rId10">
        <w:r>
          <w:rPr>
            <w:color w:val="0563C1"/>
            <w:u w:val="single"/>
          </w:rPr>
          <w:t>https://static1.squarespace.com/static/61db30d12e169a5c45950345/t/627dcf83fa17ad41ff217964/1652412292220/Anti-Palestinian+Racism-+Naming%2C+Framing+and+Manifestations.pdf</w:t>
        </w:r>
      </w:hyperlink>
    </w:p>
    <w:p w14:paraId="3D8C7FEF" w14:textId="77777777" w:rsidR="004A7B10" w:rsidRDefault="00000000">
      <w:r>
        <w:t xml:space="preserve">[2] </w:t>
      </w:r>
      <w:hyperlink r:id="rId11">
        <w:r>
          <w:rPr>
            <w:color w:val="1155CC"/>
            <w:u w:val="single"/>
          </w:rPr>
          <w:t>https://www.justice.gov/crt/fcs/TitleVI</w:t>
        </w:r>
      </w:hyperlink>
      <w:r>
        <w:t xml:space="preserve"> </w:t>
      </w:r>
    </w:p>
    <w:p w14:paraId="5214B8C2" w14:textId="77777777" w:rsidR="004A7B10" w:rsidRDefault="00000000">
      <w:r>
        <w:t xml:space="preserve">[3] </w:t>
      </w:r>
    </w:p>
    <w:p w14:paraId="0000C884" w14:textId="77777777" w:rsidR="004A7B10" w:rsidRDefault="00000000">
      <w:hyperlink r:id="rId12">
        <w:r>
          <w:rPr>
            <w:color w:val="1155CC"/>
            <w:u w:val="single"/>
          </w:rPr>
          <w:t>www.cair.com/wp-content/uploads/2026/04/The-Right-to-be-Different-2026.pdf</w:t>
        </w:r>
      </w:hyperlink>
      <w:r>
        <w:t xml:space="preserve"> </w:t>
      </w:r>
    </w:p>
    <w:p w14:paraId="391921DB" w14:textId="77777777" w:rsidR="004A7B10" w:rsidRDefault="00000000">
      <w:hyperlink r:id="rId13">
        <w:r>
          <w:rPr>
            <w:color w:val="1155CC"/>
            <w:u w:val="single"/>
          </w:rPr>
          <w:t>https://www.cair.com/press_releases/new-cair-on-air-podcast-how-do-anti-muslim-hate-and-anti-palestinian-racism-overlap/</w:t>
        </w:r>
      </w:hyperlink>
      <w:r>
        <w:t xml:space="preserve"> </w:t>
      </w:r>
    </w:p>
    <w:p w14:paraId="1434A75A" w14:textId="77777777" w:rsidR="004A7B10" w:rsidRDefault="00000000">
      <w:hyperlink r:id="rId14">
        <w:r>
          <w:rPr>
            <w:color w:val="0563C1"/>
            <w:u w:val="single"/>
          </w:rPr>
          <w:t>https://www.instagram.com/arabcanadianlawyersassoc/</w:t>
        </w:r>
      </w:hyperlink>
      <w:r>
        <w:t xml:space="preserve"> </w:t>
      </w:r>
    </w:p>
    <w:p w14:paraId="4304F253" w14:textId="77777777" w:rsidR="004A7B10" w:rsidRDefault="00000000">
      <w:hyperlink r:id="rId15">
        <w:r>
          <w:rPr>
            <w:color w:val="0563C1"/>
            <w:u w:val="single"/>
          </w:rPr>
          <w:t>https://www.instagram.com/antipalestinianracism/</w:t>
        </w:r>
      </w:hyperlink>
      <w:r>
        <w:t xml:space="preserve"> </w:t>
      </w:r>
    </w:p>
    <w:p w14:paraId="2FD130B2" w14:textId="77777777" w:rsidR="004A7B10" w:rsidRDefault="00000000">
      <w:r>
        <w:t xml:space="preserve">[4] </w:t>
      </w:r>
    </w:p>
    <w:p w14:paraId="0745EEA4" w14:textId="77777777" w:rsidR="004A7B10" w:rsidRDefault="00000000">
      <w:hyperlink r:id="rId16">
        <w:r>
          <w:rPr>
            <w:color w:val="1155CC"/>
            <w:u w:val="single"/>
          </w:rPr>
          <w:t>https://www.americanbar.org/groups/crsj/resources/human-rights/2024-november/recognizing-islamophobia-anti-palestinian-racism-and-antisemitsm/</w:t>
        </w:r>
      </w:hyperlink>
      <w:r>
        <w:t xml:space="preserve"> </w:t>
      </w:r>
    </w:p>
    <w:p w14:paraId="20E0B21E" w14:textId="77777777" w:rsidR="004A7B10" w:rsidRDefault="00000000">
      <w:hyperlink r:id="rId17">
        <w:r>
          <w:rPr>
            <w:color w:val="1155CC"/>
            <w:u w:val="single"/>
          </w:rPr>
          <w:t>https://drive.google.com/file/d/1vJhc-tsx0fggkTw0jCns4fcikyDuDOdU/view</w:t>
        </w:r>
      </w:hyperlink>
      <w:r>
        <w:t xml:space="preserve"> </w:t>
      </w:r>
    </w:p>
    <w:p w14:paraId="671DE6A3" w14:textId="77777777" w:rsidR="004A7B10" w:rsidRDefault="00000000">
      <w:hyperlink r:id="rId18">
        <w:r>
          <w:rPr>
            <w:color w:val="1155CC"/>
            <w:u w:val="single"/>
          </w:rPr>
          <w:t>https://docs.google.com/document/d/e/2PACX-1vTLXbpCZ2C6_MHKp2VH7fEeM-0v700SLdld3FFIgjuYqQrGqBv9FB8tHMR-wK82Y4kTfLfUlCIjauq-/pub</w:t>
        </w:r>
      </w:hyperlink>
      <w:r>
        <w:t xml:space="preserve"> </w:t>
      </w:r>
    </w:p>
    <w:p w14:paraId="0125EED5" w14:textId="77777777" w:rsidR="004A7B10" w:rsidRDefault="00000000">
      <w:hyperlink r:id="rId19">
        <w:r>
          <w:rPr>
            <w:color w:val="1155CC"/>
            <w:u w:val="single"/>
          </w:rPr>
          <w:t>https://ethnicstudies.berkeley.edu/resources/dismantling-anti-palestinian-racism</w:t>
        </w:r>
      </w:hyperlink>
      <w:r>
        <w:t xml:space="preserve"> </w:t>
      </w:r>
    </w:p>
    <w:p w14:paraId="27481F46" w14:textId="77777777" w:rsidR="004A7B10" w:rsidRDefault="00000000">
      <w:hyperlink r:id="rId20">
        <w:r>
          <w:rPr>
            <w:color w:val="1155CC"/>
            <w:u w:val="single"/>
          </w:rPr>
          <w:t>https://pomeps.org/anti-palestinian-racism-analyzing-the-unnamed-and-suppressed-reality</w:t>
        </w:r>
      </w:hyperlink>
    </w:p>
    <w:p w14:paraId="14E47542" w14:textId="77777777" w:rsidR="004A7B10" w:rsidRDefault="00000000">
      <w:hyperlink r:id="rId21">
        <w:r>
          <w:rPr>
            <w:color w:val="1155CC"/>
            <w:u w:val="single"/>
          </w:rPr>
          <w:t>https://learn.library.torontomu.ca/c.php?g=739323&amp;p=5401904</w:t>
        </w:r>
      </w:hyperlink>
      <w:r>
        <w:t xml:space="preserve"> </w:t>
      </w:r>
    </w:p>
    <w:p w14:paraId="1B732621" w14:textId="77777777" w:rsidR="004A7B10" w:rsidRDefault="00000000">
      <w:hyperlink r:id="rId22">
        <w:r>
          <w:rPr>
            <w:color w:val="1155CC"/>
            <w:u w:val="single"/>
          </w:rPr>
          <w:t>https://www.youtube.com/watch?v=IUhrL5mZUVk</w:t>
        </w:r>
      </w:hyperlink>
      <w:r>
        <w:t xml:space="preserve"> </w:t>
      </w:r>
    </w:p>
    <w:p w14:paraId="2B8A8436" w14:textId="77777777" w:rsidR="004A7B10" w:rsidRDefault="00000000">
      <w:hyperlink r:id="rId23">
        <w:r>
          <w:rPr>
            <w:color w:val="1155CC"/>
            <w:u w:val="single"/>
          </w:rPr>
          <w:t>https://pmc.ncbi.nlm.nih.gov/articles/PMC11249121/</w:t>
        </w:r>
      </w:hyperlink>
      <w:r>
        <w:t xml:space="preserve"> </w:t>
      </w:r>
    </w:p>
    <w:p w14:paraId="7BFEE0FF" w14:textId="77777777" w:rsidR="004A7B10" w:rsidRDefault="00000000">
      <w:hyperlink r:id="rId24">
        <w:r>
          <w:rPr>
            <w:color w:val="1155CC"/>
            <w:u w:val="single"/>
          </w:rPr>
          <w:t>https://petition.parliament.uk/petitions/716576</w:t>
        </w:r>
      </w:hyperlink>
      <w:r>
        <w:t xml:space="preserve"> </w:t>
      </w:r>
    </w:p>
    <w:p w14:paraId="7C0A82DE" w14:textId="77777777" w:rsidR="004A7B10" w:rsidRDefault="004A7B10"/>
    <w:p w14:paraId="3A4B7A5B" w14:textId="77777777" w:rsidR="004A7B10" w:rsidRDefault="00000000">
      <w:r>
        <w:t xml:space="preserve">END </w:t>
      </w:r>
    </w:p>
    <w:p w14:paraId="7CA1CAB3" w14:textId="77777777" w:rsidR="004A7B10" w:rsidRDefault="00000000">
      <w:r>
        <w:br w:type="page"/>
      </w:r>
    </w:p>
    <w:p w14:paraId="65EA2678" w14:textId="77777777" w:rsidR="004A7B10" w:rsidRDefault="00000000">
      <w:r>
        <w:lastRenderedPageBreak/>
        <w:t xml:space="preserve">Letter 2   </w:t>
      </w:r>
    </w:p>
    <w:p w14:paraId="62D2A3BB" w14:textId="77777777" w:rsidR="004A7B10" w:rsidRDefault="00000000">
      <w:pPr>
        <w:rPr>
          <w:b/>
          <w:bCs/>
        </w:rPr>
      </w:pPr>
      <w:r>
        <w:rPr>
          <w:b/>
          <w:bCs/>
        </w:rPr>
        <w:t xml:space="preserve">The Nakba Narrative: How An Arab War of Annihilation Became a Jewish Crime </w:t>
      </w:r>
    </w:p>
    <w:p w14:paraId="45E02A7B" w14:textId="77777777" w:rsidR="004A7B10" w:rsidRDefault="00000000">
      <w:pPr>
        <w:rPr>
          <w:b/>
          <w:bCs/>
        </w:rPr>
      </w:pPr>
      <w:r>
        <w:rPr>
          <w:b/>
          <w:bCs/>
        </w:rPr>
        <w:t xml:space="preserve">(Authors Debra Statman and Erica ___) </w:t>
      </w:r>
    </w:p>
    <w:p w14:paraId="43CA7997" w14:textId="77777777" w:rsidR="004A7B10" w:rsidRDefault="004A7B10">
      <w:pPr>
        <w:rPr>
          <w:b/>
          <w:bCs/>
        </w:rPr>
      </w:pPr>
    </w:p>
    <w:p w14:paraId="49A76594" w14:textId="77777777" w:rsidR="004A7B10" w:rsidRDefault="00000000">
      <w:r>
        <w:t xml:space="preserve">“Nakba” is the Arabic word for “catastrophe” or “disaster.” The word was coined by Arab historian, Constantine </w:t>
      </w:r>
      <w:proofErr w:type="spellStart"/>
      <w:r>
        <w:t>Zureiq</w:t>
      </w:r>
      <w:proofErr w:type="spellEnd"/>
      <w:r>
        <w:t xml:space="preserve">, not to describe Israel but to condemn Arab failure: when five Arabs countries rejected the U.N. partition plan and declared war on the newly established State of Israel, and lost. [1] </w:t>
      </w:r>
    </w:p>
    <w:p w14:paraId="35F0C2CC" w14:textId="77777777" w:rsidR="004A7B10" w:rsidRDefault="00000000">
      <w:r>
        <w:t xml:space="preserve">Since 1948, the facts surrounding that war have been systematically inverted and recast into a revisionist narrative. What began as an Arab war of aggression and annihilation against the Jewish people and newly formed Jewish state is now portrayed as a Jewish campaign of ethnic cleansing and genocide against innocent Arab civilians. This article examines the historical record. </w:t>
      </w:r>
    </w:p>
    <w:p w14:paraId="706DD264" w14:textId="77777777" w:rsidR="004A7B10" w:rsidRDefault="00000000">
      <w:pPr>
        <w:numPr>
          <w:ilvl w:val="0"/>
          <w:numId w:val="3"/>
        </w:numPr>
      </w:pPr>
      <w:r>
        <w:t xml:space="preserve">The 1947 Partition Plan and Arab Rejection </w:t>
      </w:r>
    </w:p>
    <w:p w14:paraId="402D2EB4" w14:textId="77777777" w:rsidR="004A7B10" w:rsidRDefault="00000000">
      <w:r>
        <w:t xml:space="preserve">From 1922 to 1948, prior to the establishment of the modern day State of Israel, the territory was governed as the “British Mandate of Palestine,” home to Jewish, Christian and Muslim communities under British administration. (See the Global Peace for Israel article titled </w:t>
      </w:r>
      <w:r>
        <w:rPr>
          <w:i/>
          <w:iCs/>
        </w:rPr>
        <w:t>Ottoman Empire to British Mandate of Palestine</w:t>
      </w:r>
      <w:r>
        <w:t xml:space="preserve"> for additional background.) On November 29, 1947, the United Nations (U.N.) passed Resolution 181 proposing to partition the Mandate into a Jewish state and an Arab state. </w:t>
      </w:r>
    </w:p>
    <w:p w14:paraId="20658A48" w14:textId="77777777" w:rsidR="004A7B10" w:rsidRDefault="00000000">
      <w:r>
        <w:t>The Jewish leadership accepted the partition plan but the Arabs, through their leadership, the “Arab Higher Committee” rejected it entirely, refused to negotiate, and made no counter-proposal. [2]</w:t>
      </w:r>
      <w:r>
        <w:rPr>
          <w:highlight w:val="white"/>
        </w:rPr>
        <w:t xml:space="preserve">[3] </w:t>
      </w:r>
      <w:r>
        <w:t xml:space="preserve">They refused to accept the existence of a Jewish state and all Arab member states at the U.N. voted against Resolution 181, the same day it passed. </w:t>
      </w:r>
    </w:p>
    <w:p w14:paraId="7276AC4B" w14:textId="77777777" w:rsidR="004A7B10" w:rsidRDefault="00000000">
      <w:r>
        <w:t xml:space="preserve">This was not a territorial dispute. Arab leaders made it clear. They rejected the existence of any Jewish State, regardless  of its borders.   </w:t>
      </w:r>
    </w:p>
    <w:p w14:paraId="4DBCA5AB" w14:textId="77777777" w:rsidR="004A7B10" w:rsidRDefault="00000000">
      <w:pPr>
        <w:numPr>
          <w:ilvl w:val="0"/>
          <w:numId w:val="4"/>
        </w:numPr>
      </w:pPr>
      <w:r>
        <w:t>Pre-War Arab Declarations and Objectives: Annihilation, Not Negotiation  </w:t>
      </w:r>
    </w:p>
    <w:p w14:paraId="592C64AA" w14:textId="77777777" w:rsidR="004A7B10" w:rsidRDefault="00000000">
      <w:r>
        <w:t xml:space="preserve">The language used by Arab leaders before and during the War leaves no room for ambiguity about their objectives. </w:t>
      </w:r>
    </w:p>
    <w:p w14:paraId="171EBBE8" w14:textId="77777777" w:rsidR="004A7B10" w:rsidRDefault="00000000">
      <w:r>
        <w:t xml:space="preserve">The Arab League's General Secretary, General Azzam Pasha, declared shortly prior to the Arab invasion that if the partition plan was enacted, the Arabs would fight "a war of annihilation “  … “a momentous massacre in history that will be talked about like the massacres of the Mongols </w:t>
      </w:r>
      <w:r>
        <w:lastRenderedPageBreak/>
        <w:t xml:space="preserve">or the Crusades." [4]  A CIA assessment concluded that “the Arabs agreed that a Zionist state could not be tolerated in the Arab world “ and the Arab coalition would prevent “the formation and functioning of a Jewish state.” [5] </w:t>
      </w:r>
    </w:p>
    <w:p w14:paraId="111B6736" w14:textId="77777777" w:rsidR="004A7B10" w:rsidRDefault="00000000">
      <w:r>
        <w:t xml:space="preserve">Haj Amin al-Husseini, the Grand Mufti of Jerusalem (“Grand Mufti”) and the most powerful political and religious Arab leader of the Mandate, rejected every proposed compromise.  During World War II, he traveled to Germany, where he met with Hitler and urged the accelerated extermination of European Jews. When Arab armies invaded in May 1948, his war aim was unambiguous. Through his spokesman, al-Husseini declared that the Arabs' goal was "the elimination of the Jewish state."  [6] </w:t>
      </w:r>
    </w:p>
    <w:p w14:paraId="6353315F" w14:textId="77777777" w:rsidR="004A7B10" w:rsidRDefault="00000000">
      <w:r>
        <w:t xml:space="preserve">Calls to “annihilate" "massacre” and “kill Jews everywhere you find them” are not the language of territorial negotiation. They are the language of extermination or genocide. </w:t>
      </w:r>
    </w:p>
    <w:p w14:paraId="0999F08B" w14:textId="77777777" w:rsidR="004A7B10" w:rsidRDefault="00000000">
      <w:pPr>
        <w:numPr>
          <w:ilvl w:val="0"/>
          <w:numId w:val="4"/>
        </w:numPr>
      </w:pPr>
      <w:r>
        <w:t xml:space="preserve">Arab Displacement and Evacuation:  No Ethnic Cleansing or Genocide </w:t>
      </w:r>
    </w:p>
    <w:p w14:paraId="71ADAE9A" w14:textId="77777777" w:rsidR="004A7B10" w:rsidRDefault="00000000">
      <w:r>
        <w:t xml:space="preserve">The historical record shows that large numbers of Arab civilians left their homes not because of Jewish expulsion but in response to directives from their own Arab leadership. Historian Benny Morris documented that the Arab Higher Committee "ordered the evacuation of 'several dozen villages, as well as the removal of dependents from dozens more" between April and July 1948. [7]  In January 1948, the Grand Mufti of Jerusalem told a delegation of Haifa Arabs that they should "remove the women and children from the danger areas in order to reduce the number of casualties," and continued to encourage evacuations in the months that followed.  Contemporary reporting confirms that Time Magazine reported on May 3, 1948 that the mass evacuation was "prompted partly by fear, partly by orders of Arab leaders," and that Arab leaders hoped the withdrawal of Arab workers would paralyze the city. [8] </w:t>
      </w:r>
    </w:p>
    <w:p w14:paraId="2F104D4C" w14:textId="77777777" w:rsidR="004A7B10" w:rsidRDefault="00000000">
      <w:r>
        <w:t xml:space="preserve">Arab civilians were told that invading Arab armies would quickly defeat the Jewish forces - which had not even been formed as a national army yet - and that they could return home after victory. That promise proved catastrophically false. But the displacement that followed was as a consequence of a war the Arabs chose to start, and not a Jewish campaign of ethnic cleansing. </w:t>
      </w:r>
    </w:p>
    <w:p w14:paraId="1F72201F" w14:textId="77777777" w:rsidR="004A7B10" w:rsidRDefault="00000000">
      <w:pPr>
        <w:numPr>
          <w:ilvl w:val="0"/>
          <w:numId w:val="4"/>
        </w:numPr>
      </w:pPr>
      <w:r>
        <w:t xml:space="preserve">The Establishment of Israel and Arab Declaration of War </w:t>
      </w:r>
    </w:p>
    <w:p w14:paraId="784711FC" w14:textId="77777777" w:rsidR="004A7B10" w:rsidRDefault="00000000">
      <w:r>
        <w:t>On May 14, 1948, the British withdrew from the Mandate and Israel declared independence, establishing the first and only modern Jewish state.</w:t>
      </w:r>
    </w:p>
    <w:p w14:paraId="5989F0BF" w14:textId="77777777" w:rsidR="004A7B10" w:rsidRDefault="00000000">
      <w:r>
        <w:t xml:space="preserve">The following day, May 15, 1948, the Arab armies of Egypt, Syria, Jordan, Iraq, and Lebanon invaded. What followed is known as Israel’s “War of Independence.” The War lasted more than a year before Arab states accepted defeat. It produced thousands of casualties and the displacement of hundreds of thousands of people, both Jews and Arabs, across the region. </w:t>
      </w:r>
      <w:r>
        <w:tab/>
      </w:r>
    </w:p>
    <w:p w14:paraId="1BE5C780" w14:textId="77777777" w:rsidR="004A7B10" w:rsidRDefault="00000000">
      <w:r>
        <w:t> </w:t>
      </w:r>
    </w:p>
    <w:p w14:paraId="5923337E" w14:textId="77777777" w:rsidR="004A7B10" w:rsidRDefault="00000000">
      <w:pPr>
        <w:numPr>
          <w:ilvl w:val="0"/>
          <w:numId w:val="5"/>
        </w:numPr>
      </w:pPr>
      <w:r>
        <w:lastRenderedPageBreak/>
        <w:t>Acknowledgment of Nakba Defeat in Arab World  </w:t>
      </w:r>
    </w:p>
    <w:p w14:paraId="367B593E" w14:textId="77777777" w:rsidR="004A7B10" w:rsidRDefault="00000000">
      <w:proofErr w:type="spellStart"/>
      <w:r>
        <w:t>Zureiq</w:t>
      </w:r>
      <w:proofErr w:type="spellEnd"/>
      <w:r>
        <w:t xml:space="preserve">, who coined the term “Nakba” wrote: "Seven Arab countries declare war on Zionism in Palestine… Seven countries go to war to abolish the partition and to defeat Zionism, and quickly leave the battle after losing much of the land of Palestine — and even the part that was given to the Arabs in the Partition Plan." </w:t>
      </w:r>
      <w:proofErr w:type="spellStart"/>
      <w:r>
        <w:t>Zureiq</w:t>
      </w:r>
      <w:proofErr w:type="spellEnd"/>
      <w:r>
        <w:t xml:space="preserve"> concluded: "We must admit our mistakes… and recognize the extent of our responsibility for the disaster that is our lot." [5] </w:t>
      </w:r>
    </w:p>
    <w:p w14:paraId="351B6BA7" w14:textId="77777777" w:rsidR="004A7B10" w:rsidRDefault="00000000">
      <w:r>
        <w:t xml:space="preserve">There was no genocide or ethnic cleansing of Arab civilians in Israel’s War of Independence. This was a war, launched by Arab states, lost by Arab states, and whose costs fell on both Jews and Arabs.  </w:t>
      </w:r>
    </w:p>
    <w:p w14:paraId="77FDAE1F" w14:textId="77777777" w:rsidR="004A7B10" w:rsidRDefault="00000000">
      <w:r>
        <w:t xml:space="preserve">Arab defeat and displacement was disastrous for the Arab people. But, the catastrophe was self-inflicted. </w:t>
      </w:r>
    </w:p>
    <w:p w14:paraId="5A0DCDE7" w14:textId="77777777" w:rsidR="004A7B10" w:rsidRDefault="00000000">
      <w:pPr>
        <w:numPr>
          <w:ilvl w:val="0"/>
          <w:numId w:val="6"/>
        </w:numPr>
      </w:pPr>
      <w:r>
        <w:t>The Revisionist Inversion of Historical Facts and Erasure of Jews in Arab Countries</w:t>
      </w:r>
    </w:p>
    <w:p w14:paraId="5EA0ED75" w14:textId="77777777" w:rsidR="004A7B10" w:rsidRDefault="00000000">
      <w:r>
        <w:t>Today’s Nakba narrative inverts the historical record or evidence. It recasts a war of aggression and annihilation initiated by the Arab states and leadership who reject the partition plan, and then threatened genocide and launched a military invasion, as a story of Arab innocence, and Jewish criminality. The Arab rejection of the partition plan is reframed as a Jewish campaign of ethnic cleansing and genocide.  Arab military defeat and the displacement it produced are reframed as unprovoked dispossession. And the existence of the State of Israel is presented as a catastrophe or crime in and of itself. A crime simply by virtue of its very existence.  </w:t>
      </w:r>
    </w:p>
    <w:p w14:paraId="5EC299D6" w14:textId="77777777" w:rsidR="004A7B10" w:rsidRDefault="00000000">
      <w:r>
        <w:t>The Nakba narrative also erases the forced displacement of Jews from Arab and Muslim countries in 1947 and 1948 that began simultaneously around the establishment of the Jewish state.  In direct response to Israel’s founding, approximately 850,000 Jews were expelled from Egypt, Iraq, Libya, Morocco, Syria, and Yemen, and billions of dollars of Jewish property was confiscated. [9]</w:t>
      </w:r>
      <w:r>
        <w:tab/>
      </w:r>
    </w:p>
    <w:p w14:paraId="6A949C01" w14:textId="77777777" w:rsidR="004A7B10" w:rsidRDefault="00000000">
      <w:r>
        <w:t xml:space="preserve">These ancient Jewish communities, some predating Islam by a </w:t>
      </w:r>
      <w:proofErr w:type="spellStart"/>
      <w:r>
        <w:t>millenium</w:t>
      </w:r>
      <w:proofErr w:type="spellEnd"/>
      <w:r>
        <w:t xml:space="preserve">, faced coordinated state-sanctioned persecution and violence: bank accounts were frozen, property was confiscated, livelihoods destroyed and communities dismantled by government decree. In Iraq, Zionism was declared a capital crime. In Syria, government tolerated pogroms erupted in Aleppo as Jewish assets were seized. In Egypt, bombs were detonated in Jewish neighborhoods, killing dozens. In Algeria, anti-Jewish decrees were imposed; in Yemen, there were bloody pogroms that killed Jews. The total land seized from Jewish communities across Arab countries was five times the size of Israel. </w:t>
      </w:r>
    </w:p>
    <w:p w14:paraId="6231B677" w14:textId="77777777" w:rsidR="004A7B10" w:rsidRDefault="00000000">
      <w:r>
        <w:lastRenderedPageBreak/>
        <w:t xml:space="preserve">These incidents were not isolated and spontaneous; these were the deliberate dismantling of Jewish life in Arab lands that had previously existed for over 1,000 years, timed precisely with the founding of the Jewish state. </w:t>
      </w:r>
    </w:p>
    <w:p w14:paraId="2831E6D9" w14:textId="77777777" w:rsidR="004A7B10" w:rsidRDefault="00000000">
      <w:r>
        <w:t>F. Conclusion</w:t>
      </w:r>
    </w:p>
    <w:p w14:paraId="1D71D0BA" w14:textId="77777777" w:rsidR="004A7B10" w:rsidRDefault="00000000">
      <w:r>
        <w:t xml:space="preserve">The Nakba is commemorated annually on May 15, the anniversary of Israel’s founding, a framing that treats the mere existence of the State of Israel as an ongoing catastrophe. But the evidence points to a different conclusion. </w:t>
      </w:r>
    </w:p>
    <w:p w14:paraId="32612465" w14:textId="77777777" w:rsidR="004A7B10" w:rsidRDefault="00000000">
      <w:r>
        <w:t xml:space="preserve">The “catastrophe” of 1948 was not about the founding of Israel. It was not about a loss of “their” land. Rather, it was a direct consequence of a war of annihilation launched by Arab states that rejected coexistence and pursued annihilation. </w:t>
      </w:r>
    </w:p>
    <w:p w14:paraId="53BE12B4" w14:textId="77777777" w:rsidR="004A7B10" w:rsidRDefault="00000000">
      <w:r>
        <w:t xml:space="preserve">Catastrophic Arab failure has been turned into an indictment of Jewish self-determination.  </w:t>
      </w:r>
    </w:p>
    <w:p w14:paraId="3DE05F54" w14:textId="77777777" w:rsidR="004A7B10" w:rsidRDefault="004A7B10"/>
    <w:p w14:paraId="63B5EE7C" w14:textId="77777777" w:rsidR="004A7B10" w:rsidRDefault="00000000">
      <w:r>
        <w:t>(Please see our full article with citations on the Global Peace for Israel website. This is intended to be an Executive Summary.)  </w:t>
      </w:r>
    </w:p>
    <w:p w14:paraId="558AE423" w14:textId="77777777" w:rsidR="004A7B10" w:rsidRDefault="004A7B10"/>
    <w:p w14:paraId="4C5EEB6E" w14:textId="77777777" w:rsidR="004A7B10" w:rsidRDefault="00000000">
      <w:r>
        <w:t xml:space="preserve">Footnotes </w:t>
      </w:r>
    </w:p>
    <w:p w14:paraId="707AB732" w14:textId="77777777" w:rsidR="004A7B10" w:rsidRDefault="00000000">
      <w:pPr>
        <w:rPr>
          <w:color w:val="363636"/>
          <w:highlight w:val="white"/>
        </w:rPr>
      </w:pPr>
      <w:r>
        <w:t xml:space="preserve">[1] </w:t>
      </w:r>
      <w:proofErr w:type="spellStart"/>
      <w:r>
        <w:rPr>
          <w:color w:val="363636"/>
          <w:highlight w:val="white"/>
        </w:rPr>
        <w:t>Zureiq</w:t>
      </w:r>
      <w:proofErr w:type="spellEnd"/>
      <w:r>
        <w:rPr>
          <w:color w:val="363636"/>
          <w:highlight w:val="white"/>
        </w:rPr>
        <w:t xml:space="preserve">, C. (1948). </w:t>
      </w:r>
      <w:proofErr w:type="spellStart"/>
      <w:r>
        <w:rPr>
          <w:color w:val="363636"/>
          <w:highlight w:val="white"/>
        </w:rPr>
        <w:t>Ma'na</w:t>
      </w:r>
      <w:proofErr w:type="spellEnd"/>
      <w:r>
        <w:rPr>
          <w:color w:val="363636"/>
          <w:highlight w:val="white"/>
        </w:rPr>
        <w:t xml:space="preserve"> al-Nakba. Dar al-Ilm </w:t>
      </w:r>
      <w:proofErr w:type="spellStart"/>
      <w:r>
        <w:rPr>
          <w:color w:val="363636"/>
          <w:highlight w:val="white"/>
        </w:rPr>
        <w:t>lil</w:t>
      </w:r>
      <w:proofErr w:type="spellEnd"/>
      <w:r>
        <w:rPr>
          <w:color w:val="363636"/>
          <w:highlight w:val="white"/>
        </w:rPr>
        <w:t>-Malayeen, Beirut</w:t>
      </w:r>
    </w:p>
    <w:p w14:paraId="2ED2EA02" w14:textId="77777777" w:rsidR="004A7B10" w:rsidRDefault="00000000">
      <w:pPr>
        <w:rPr>
          <w:color w:val="363636"/>
          <w:highlight w:val="white"/>
        </w:rPr>
      </w:pPr>
      <w:r>
        <w:rPr>
          <w:color w:val="363636"/>
          <w:highlight w:val="white"/>
        </w:rPr>
        <w:t xml:space="preserve">[2] </w:t>
      </w:r>
    </w:p>
    <w:p w14:paraId="6C68177B" w14:textId="77777777" w:rsidR="004A7B10" w:rsidRDefault="00000000">
      <w:pPr>
        <w:rPr>
          <w:color w:val="363636"/>
          <w:highlight w:val="white"/>
        </w:rPr>
      </w:pPr>
      <w:hyperlink r:id="rId25">
        <w:r>
          <w:rPr>
            <w:color w:val="1155CC"/>
            <w:highlight w:val="white"/>
            <w:u w:val="single"/>
          </w:rPr>
          <w:t>https://avalon.law.yale.edu/20th_century/res181.asp</w:t>
        </w:r>
      </w:hyperlink>
    </w:p>
    <w:p w14:paraId="7059B1D5" w14:textId="77777777" w:rsidR="004A7B10" w:rsidRDefault="00000000">
      <w:pPr>
        <w:rPr>
          <w:color w:val="363636"/>
          <w:highlight w:val="white"/>
        </w:rPr>
      </w:pPr>
      <w:hyperlink r:id="rId26">
        <w:r>
          <w:rPr>
            <w:color w:val="1155CC"/>
            <w:highlight w:val="white"/>
            <w:u w:val="single"/>
          </w:rPr>
          <w:t>https://2001-2009.state.gov/r/pa/ho/time/cwr/97178.htm</w:t>
        </w:r>
      </w:hyperlink>
      <w:r>
        <w:rPr>
          <w:color w:val="363636"/>
          <w:highlight w:val="white"/>
        </w:rPr>
        <w:t xml:space="preserve">  </w:t>
      </w:r>
    </w:p>
    <w:p w14:paraId="3C0824CD" w14:textId="77777777" w:rsidR="004A7B10" w:rsidRDefault="00000000">
      <w:pPr>
        <w:rPr>
          <w:color w:val="363636"/>
          <w:highlight w:val="white"/>
        </w:rPr>
      </w:pPr>
      <w:r>
        <w:rPr>
          <w:color w:val="363636"/>
          <w:highlight w:val="white"/>
        </w:rPr>
        <w:t xml:space="preserve">[3] </w:t>
      </w:r>
      <w:hyperlink r:id="rId27">
        <w:r>
          <w:rPr>
            <w:color w:val="1155CC"/>
            <w:highlight w:val="white"/>
            <w:u w:val="single"/>
          </w:rPr>
          <w:t>https://history.state.gov/historicaldocuments/frus1948v05p2/d69</w:t>
        </w:r>
      </w:hyperlink>
      <w:r>
        <w:rPr>
          <w:color w:val="363636"/>
          <w:highlight w:val="white"/>
        </w:rPr>
        <w:t xml:space="preserve"> </w:t>
      </w:r>
    </w:p>
    <w:p w14:paraId="1F78A005" w14:textId="77777777" w:rsidR="004A7B10" w:rsidRDefault="00000000">
      <w:r>
        <w:t xml:space="preserve">[4] </w:t>
      </w:r>
      <w:r>
        <w:rPr>
          <w:i/>
          <w:iCs/>
        </w:rPr>
        <w:t>Akhbar al-Yom</w:t>
      </w:r>
      <w:r>
        <w:t xml:space="preserve">, Cairo (October 11, 1947)(Interview with Abd al-Rahman Azzam Pasha) </w:t>
      </w:r>
    </w:p>
    <w:p w14:paraId="719FA798" w14:textId="77777777" w:rsidR="004A7B10" w:rsidRDefault="00000000">
      <w:pPr>
        <w:rPr>
          <w:color w:val="FF0000"/>
        </w:rPr>
      </w:pPr>
      <w:r>
        <w:t xml:space="preserve">[5] </w:t>
      </w:r>
      <w:hyperlink r:id="rId28">
        <w:r>
          <w:rPr>
            <w:color w:val="1155CC"/>
            <w:u w:val="single"/>
          </w:rPr>
          <w:t>https://history.state.gov/historicaldocuments/frus1948v05p2/d69</w:t>
        </w:r>
      </w:hyperlink>
      <w:r>
        <w:t xml:space="preserve"> </w:t>
      </w:r>
    </w:p>
    <w:p w14:paraId="14ED72E0" w14:textId="77777777" w:rsidR="004A7B10" w:rsidRDefault="00000000">
      <w:r>
        <w:t xml:space="preserve">[6] Larry Collins and Dominique Lapierre, O Jerusalem, 1st ed. (New York: Simon &amp; Schuster, 1972) </w:t>
      </w:r>
    </w:p>
    <w:p w14:paraId="745CAA34" w14:textId="77777777" w:rsidR="004A7B10" w:rsidRDefault="00000000">
      <w:r>
        <w:t>[7] Benny Morris, The Birth of the Palestinian Refugee Problem Revisited (Cambridge: Cambridge University Press, 2004)</w:t>
      </w:r>
    </w:p>
    <w:p w14:paraId="21FA7AE3" w14:textId="77777777" w:rsidR="004A7B10" w:rsidRDefault="00000000">
      <w:r>
        <w:t xml:space="preserve">[8] </w:t>
      </w:r>
      <w:hyperlink r:id="rId29">
        <w:r>
          <w:rPr>
            <w:color w:val="1155CC"/>
            <w:u w:val="single"/>
          </w:rPr>
          <w:t>https://www.camera.org/article/contradicting-its-own-archives-new-york-times-expulsion-escape-of-haifas-arabs/</w:t>
        </w:r>
      </w:hyperlink>
      <w:r>
        <w:t xml:space="preserve"> </w:t>
      </w:r>
    </w:p>
    <w:p w14:paraId="214922D2" w14:textId="77777777" w:rsidR="004A7B10" w:rsidRDefault="00000000">
      <w:r>
        <w:lastRenderedPageBreak/>
        <w:t xml:space="preserve">The Arabs of Haifa," Time Magazine, May 3, 1948 </w:t>
      </w:r>
    </w:p>
    <w:p w14:paraId="0DC9894A" w14:textId="77777777" w:rsidR="004A7B10" w:rsidRDefault="00000000">
      <w:r>
        <w:t xml:space="preserve">[9] </w:t>
      </w:r>
    </w:p>
    <w:p w14:paraId="07A49BCD" w14:textId="77777777" w:rsidR="004A7B10" w:rsidRDefault="00000000">
      <w:hyperlink r:id="rId30">
        <w:r>
          <w:rPr>
            <w:color w:val="1155CC"/>
            <w:u w:val="single"/>
          </w:rPr>
          <w:t>https://www.camera.org/article/backgrounder-palestinian-arab-and-jewish-refugees/</w:t>
        </w:r>
      </w:hyperlink>
      <w:r>
        <w:t xml:space="preserve"> </w:t>
      </w:r>
    </w:p>
    <w:p w14:paraId="50F9B8A0" w14:textId="77777777" w:rsidR="004A7B10" w:rsidRDefault="00000000">
      <w:hyperlink r:id="rId31">
        <w:r>
          <w:rPr>
            <w:color w:val="1155CC"/>
            <w:u w:val="single"/>
          </w:rPr>
          <w:t>https://jewishvirtuallibrary.org/jewish-refugees-from-arab-countries</w:t>
        </w:r>
      </w:hyperlink>
      <w:r>
        <w:t xml:space="preserve"> </w:t>
      </w:r>
    </w:p>
    <w:p w14:paraId="172CB1F6" w14:textId="77777777" w:rsidR="004A7B10" w:rsidRDefault="004A7B10"/>
    <w:p w14:paraId="28B3EA0F" w14:textId="77777777" w:rsidR="004A7B10" w:rsidRDefault="00000000">
      <w:r>
        <w:t xml:space="preserve">END </w:t>
      </w:r>
      <w:r>
        <w:br w:type="page"/>
      </w:r>
    </w:p>
    <w:p w14:paraId="19270410" w14:textId="77777777" w:rsidR="004A7B10" w:rsidRDefault="00000000">
      <w:r>
        <w:lastRenderedPageBreak/>
        <w:t>Nakba Citations Verified on Beacon</w:t>
      </w:r>
    </w:p>
    <w:p w14:paraId="08D39FA6" w14:textId="77777777" w:rsidR="004A7B10" w:rsidRDefault="004A7B10">
      <w:pPr>
        <w:rPr>
          <w:rFonts w:ascii="Arial" w:eastAsia="Arial" w:hAnsi="Arial" w:cs="Arial"/>
        </w:rPr>
      </w:pPr>
    </w:p>
    <w:tbl>
      <w:tblPr>
        <w:tblStyle w:val="a"/>
        <w:tblW w:w="75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5"/>
        <w:gridCol w:w="4710"/>
        <w:gridCol w:w="2385"/>
      </w:tblGrid>
      <w:tr w:rsidR="004A7B10" w14:paraId="09118B85" w14:textId="77777777">
        <w:trPr>
          <w:trHeight w:val="435"/>
        </w:trPr>
        <w:tc>
          <w:tcPr>
            <w:tcW w:w="495" w:type="dxa"/>
            <w:tcBorders>
              <w:top w:val="single" w:sz="6" w:space="0" w:color="000000"/>
              <w:left w:val="single" w:sz="6" w:space="0" w:color="000000"/>
              <w:bottom w:val="single" w:sz="6" w:space="0" w:color="000000"/>
              <w:right w:val="single" w:sz="6" w:space="0" w:color="000000"/>
            </w:tcBorders>
            <w:tcMar>
              <w:top w:w="0" w:type="dxa"/>
              <w:left w:w="0" w:type="dxa"/>
              <w:bottom w:w="120" w:type="dxa"/>
              <w:right w:w="0" w:type="dxa"/>
            </w:tcMar>
            <w:vAlign w:val="bottom"/>
          </w:tcPr>
          <w:p w14:paraId="39A061DF" w14:textId="77777777" w:rsidR="004A7B10" w:rsidRDefault="00000000">
            <w:pPr>
              <w:spacing w:before="440" w:after="440" w:line="342" w:lineRule="auto"/>
              <w:jc w:val="center"/>
              <w:rPr>
                <w:rFonts w:ascii="Arial" w:eastAsia="Arial" w:hAnsi="Arial" w:cs="Arial"/>
                <w:sz w:val="21"/>
                <w:szCs w:val="21"/>
              </w:rPr>
            </w:pPr>
            <w:r>
              <w:rPr>
                <w:rFonts w:ascii="Arial" w:eastAsia="Arial" w:hAnsi="Arial" w:cs="Arial"/>
                <w:sz w:val="21"/>
                <w:szCs w:val="21"/>
              </w:rPr>
              <w:t>#</w:t>
            </w:r>
          </w:p>
        </w:tc>
        <w:tc>
          <w:tcPr>
            <w:tcW w:w="4710" w:type="dxa"/>
            <w:tcBorders>
              <w:top w:val="single" w:sz="6" w:space="0" w:color="000000"/>
              <w:left w:val="single" w:sz="6" w:space="0" w:color="000000"/>
              <w:bottom w:val="single" w:sz="6" w:space="0" w:color="000000"/>
              <w:right w:val="single" w:sz="6" w:space="0" w:color="000000"/>
            </w:tcBorders>
            <w:tcMar>
              <w:top w:w="0" w:type="dxa"/>
              <w:left w:w="0" w:type="dxa"/>
              <w:bottom w:w="120" w:type="dxa"/>
              <w:right w:w="0" w:type="dxa"/>
            </w:tcMar>
            <w:vAlign w:val="bottom"/>
          </w:tcPr>
          <w:p w14:paraId="58D77530" w14:textId="77777777" w:rsidR="004A7B10" w:rsidRDefault="00000000">
            <w:pPr>
              <w:spacing w:before="440" w:after="440" w:line="342" w:lineRule="auto"/>
              <w:jc w:val="center"/>
              <w:rPr>
                <w:rFonts w:ascii="Arial" w:eastAsia="Arial" w:hAnsi="Arial" w:cs="Arial"/>
                <w:sz w:val="21"/>
                <w:szCs w:val="21"/>
              </w:rPr>
            </w:pPr>
            <w:r>
              <w:rPr>
                <w:rFonts w:ascii="Arial" w:eastAsia="Arial" w:hAnsi="Arial" w:cs="Arial"/>
                <w:sz w:val="21"/>
                <w:szCs w:val="21"/>
              </w:rPr>
              <w:t>Source</w:t>
            </w:r>
          </w:p>
        </w:tc>
        <w:tc>
          <w:tcPr>
            <w:tcW w:w="2385" w:type="dxa"/>
            <w:tcBorders>
              <w:top w:val="single" w:sz="6" w:space="0" w:color="000000"/>
              <w:left w:val="single" w:sz="6" w:space="0" w:color="000000"/>
              <w:bottom w:val="single" w:sz="6" w:space="0" w:color="000000"/>
              <w:right w:val="single" w:sz="6" w:space="0" w:color="000000"/>
            </w:tcBorders>
            <w:tcMar>
              <w:top w:w="0" w:type="dxa"/>
              <w:left w:w="0" w:type="dxa"/>
              <w:bottom w:w="120" w:type="dxa"/>
              <w:right w:w="0" w:type="dxa"/>
            </w:tcMar>
            <w:vAlign w:val="bottom"/>
          </w:tcPr>
          <w:p w14:paraId="5CB78FB9" w14:textId="77777777" w:rsidR="004A7B10" w:rsidRDefault="00000000">
            <w:pPr>
              <w:spacing w:before="440" w:after="440" w:line="342" w:lineRule="auto"/>
              <w:jc w:val="center"/>
              <w:rPr>
                <w:rFonts w:ascii="Arial" w:eastAsia="Arial" w:hAnsi="Arial" w:cs="Arial"/>
                <w:sz w:val="21"/>
                <w:szCs w:val="21"/>
              </w:rPr>
            </w:pPr>
            <w:r>
              <w:rPr>
                <w:rFonts w:ascii="Arial" w:eastAsia="Arial" w:hAnsi="Arial" w:cs="Arial"/>
                <w:sz w:val="21"/>
                <w:szCs w:val="21"/>
              </w:rPr>
              <w:t>Notes</w:t>
            </w:r>
          </w:p>
        </w:tc>
      </w:tr>
      <w:tr w:rsidR="004A7B10" w14:paraId="5FEF07EE" w14:textId="77777777">
        <w:trPr>
          <w:trHeight w:val="735"/>
        </w:trPr>
        <w:tc>
          <w:tcPr>
            <w:tcW w:w="49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01222298"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[1]</w:t>
            </w:r>
          </w:p>
        </w:tc>
        <w:tc>
          <w:tcPr>
            <w:tcW w:w="4710"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1595DA51" w14:textId="77777777" w:rsidR="004A7B10" w:rsidRDefault="00000000">
            <w:pPr>
              <w:spacing w:before="440" w:after="440" w:line="342" w:lineRule="auto"/>
              <w:rPr>
                <w:rFonts w:ascii="Arial" w:eastAsia="Arial" w:hAnsi="Arial" w:cs="Arial"/>
                <w:sz w:val="21"/>
                <w:szCs w:val="21"/>
              </w:rPr>
            </w:pPr>
            <w:proofErr w:type="spellStart"/>
            <w:r>
              <w:rPr>
                <w:rFonts w:ascii="Arial" w:eastAsia="Arial" w:hAnsi="Arial" w:cs="Arial"/>
                <w:sz w:val="21"/>
                <w:szCs w:val="21"/>
              </w:rPr>
              <w:t>Zureiq</w:t>
            </w:r>
            <w:proofErr w:type="spellEnd"/>
            <w:r>
              <w:rPr>
                <w:rFonts w:ascii="Arial" w:eastAsia="Arial" w:hAnsi="Arial" w:cs="Arial"/>
                <w:sz w:val="21"/>
                <w:szCs w:val="21"/>
              </w:rPr>
              <w:t xml:space="preserve">, C. (1948). </w:t>
            </w:r>
            <w:proofErr w:type="spellStart"/>
            <w:r>
              <w:rPr>
                <w:rFonts w:ascii="Arial" w:eastAsia="Arial" w:hAnsi="Arial" w:cs="Arial"/>
                <w:i/>
                <w:iCs/>
                <w:sz w:val="21"/>
                <w:szCs w:val="21"/>
              </w:rPr>
              <w:t>Ma'na</w:t>
            </w:r>
            <w:proofErr w:type="spellEnd"/>
            <w:r>
              <w:rPr>
                <w:rFonts w:ascii="Arial" w:eastAsia="Arial" w:hAnsi="Arial" w:cs="Arial"/>
                <w:i/>
                <w:iCs/>
                <w:sz w:val="21"/>
                <w:szCs w:val="21"/>
              </w:rPr>
              <w:t xml:space="preserve"> al-Nakba</w:t>
            </w:r>
            <w:r>
              <w:rPr>
                <w:rFonts w:ascii="Arial" w:eastAsia="Arial" w:hAnsi="Arial" w:cs="Arial"/>
                <w:sz w:val="21"/>
                <w:szCs w:val="21"/>
              </w:rPr>
              <w:t xml:space="preserve">. Dar al-Ilm </w:t>
            </w:r>
            <w:proofErr w:type="spellStart"/>
            <w:r>
              <w:rPr>
                <w:rFonts w:ascii="Arial" w:eastAsia="Arial" w:hAnsi="Arial" w:cs="Arial"/>
                <w:sz w:val="21"/>
                <w:szCs w:val="21"/>
              </w:rPr>
              <w:t>lil</w:t>
            </w:r>
            <w:proofErr w:type="spellEnd"/>
            <w:r>
              <w:rPr>
                <w:rFonts w:ascii="Arial" w:eastAsia="Arial" w:hAnsi="Arial" w:cs="Arial"/>
                <w:sz w:val="21"/>
                <w:szCs w:val="21"/>
              </w:rPr>
              <w:t>-Malayeen, Beirut [Arabic]</w:t>
            </w:r>
          </w:p>
        </w:tc>
        <w:tc>
          <w:tcPr>
            <w:tcW w:w="238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30E518A4"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Used twice — intro and Section V. Correct.</w:t>
            </w:r>
          </w:p>
        </w:tc>
      </w:tr>
      <w:tr w:rsidR="004A7B10" w14:paraId="1C68114D" w14:textId="77777777">
        <w:trPr>
          <w:trHeight w:val="1035"/>
        </w:trPr>
        <w:tc>
          <w:tcPr>
            <w:tcW w:w="49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70102E6E"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[2]</w:t>
            </w:r>
          </w:p>
        </w:tc>
        <w:tc>
          <w:tcPr>
            <w:tcW w:w="4710"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37D228F3"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UN General Assembly Resolution 181 (II), November 29, 1947. UN Digital Library: A/RES/181</w:t>
            </w:r>
          </w:p>
        </w:tc>
        <w:tc>
          <w:tcPr>
            <w:tcW w:w="238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1479B6D7"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Recommend adding direct UN link</w:t>
            </w:r>
          </w:p>
        </w:tc>
      </w:tr>
      <w:tr w:rsidR="004A7B10" w14:paraId="4CF5BB59" w14:textId="77777777">
        <w:trPr>
          <w:trHeight w:val="1035"/>
        </w:trPr>
        <w:tc>
          <w:tcPr>
            <w:tcW w:w="49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5F6C7D7B"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[3]</w:t>
            </w:r>
          </w:p>
        </w:tc>
        <w:tc>
          <w:tcPr>
            <w:tcW w:w="4710"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6016AE99"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 xml:space="preserve">Arab Higher Committee rejection — cite JVL </w:t>
            </w:r>
            <w:r>
              <w:rPr>
                <w:rFonts w:ascii="Arial" w:eastAsia="Arial" w:hAnsi="Arial" w:cs="Arial"/>
                <w:i/>
                <w:iCs/>
                <w:sz w:val="21"/>
                <w:szCs w:val="21"/>
              </w:rPr>
              <w:t>"Partition Plan: Background &amp; Overview"</w:t>
            </w:r>
            <w:r>
              <w:rPr>
                <w:rFonts w:ascii="Arial" w:eastAsia="Arial" w:hAnsi="Arial" w:cs="Arial"/>
                <w:sz w:val="21"/>
                <w:szCs w:val="21"/>
              </w:rPr>
              <w:t xml:space="preserve"> (</w:t>
            </w:r>
            <w:hyperlink r:id="rId32">
              <w:r>
                <w:rPr>
                  <w:rFonts w:ascii="Arial" w:eastAsia="Arial" w:hAnsi="Arial" w:cs="Arial"/>
                  <w:sz w:val="21"/>
                  <w:szCs w:val="21"/>
                  <w:u w:val="single"/>
                </w:rPr>
                <w:t>link</w:t>
              </w:r>
            </w:hyperlink>
            <w:r>
              <w:rPr>
                <w:rFonts w:ascii="Arial" w:eastAsia="Arial" w:hAnsi="Arial" w:cs="Arial"/>
                <w:sz w:val="21"/>
                <w:szCs w:val="21"/>
              </w:rPr>
              <w:t>)</w:t>
            </w:r>
          </w:p>
        </w:tc>
        <w:tc>
          <w:tcPr>
            <w:tcW w:w="238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61351865"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Solid secondary source</w:t>
            </w:r>
          </w:p>
        </w:tc>
      </w:tr>
      <w:tr w:rsidR="004A7B10" w14:paraId="40BBF84F" w14:textId="77777777">
        <w:trPr>
          <w:trHeight w:val="1335"/>
        </w:trPr>
        <w:tc>
          <w:tcPr>
            <w:tcW w:w="49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0A212B50"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[4]</w:t>
            </w:r>
          </w:p>
        </w:tc>
        <w:tc>
          <w:tcPr>
            <w:tcW w:w="4710"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358757B5" w14:textId="77777777" w:rsidR="004A7B10" w:rsidRDefault="00000000">
            <w:pPr>
              <w:spacing w:before="440" w:after="440" w:line="342" w:lineRule="auto"/>
              <w:rPr>
                <w:rFonts w:ascii="Arial" w:eastAsia="Arial" w:hAnsi="Arial" w:cs="Arial"/>
                <w:sz w:val="21"/>
                <w:szCs w:val="21"/>
              </w:rPr>
            </w:pPr>
            <w:r>
              <w:rPr>
                <w:rFonts w:ascii="Arial" w:eastAsia="Arial" w:hAnsi="Arial" w:cs="Arial"/>
                <w:i/>
                <w:iCs/>
                <w:sz w:val="21"/>
                <w:szCs w:val="21"/>
              </w:rPr>
              <w:t>Akhbar al-Yom</w:t>
            </w:r>
            <w:r>
              <w:rPr>
                <w:rFonts w:ascii="Arial" w:eastAsia="Arial" w:hAnsi="Arial" w:cs="Arial"/>
                <w:sz w:val="21"/>
                <w:szCs w:val="21"/>
              </w:rPr>
              <w:t xml:space="preserve"> (Cairo), October 11, 1947 — interview with Azzam Pasha. First cited in: Gabbay, R.E., </w:t>
            </w:r>
            <w:r>
              <w:rPr>
                <w:rFonts w:ascii="Arial" w:eastAsia="Arial" w:hAnsi="Arial" w:cs="Arial"/>
                <w:i/>
                <w:iCs/>
                <w:sz w:val="21"/>
                <w:szCs w:val="21"/>
              </w:rPr>
              <w:t>A Political Study of the Arab-Jewish Conflict</w:t>
            </w:r>
            <w:r>
              <w:rPr>
                <w:rFonts w:ascii="Arial" w:eastAsia="Arial" w:hAnsi="Arial" w:cs="Arial"/>
                <w:sz w:val="21"/>
                <w:szCs w:val="21"/>
              </w:rPr>
              <w:t xml:space="preserve"> (Geneva: Droz, 1959), p. 88, fn. 1</w:t>
            </w:r>
          </w:p>
        </w:tc>
        <w:tc>
          <w:tcPr>
            <w:tcW w:w="238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243C84B6"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True Arab primary source; no direct digital link available</w:t>
            </w:r>
          </w:p>
        </w:tc>
      </w:tr>
      <w:tr w:rsidR="004A7B10" w14:paraId="0931BD90" w14:textId="77777777">
        <w:trPr>
          <w:trHeight w:val="1035"/>
        </w:trPr>
        <w:tc>
          <w:tcPr>
            <w:tcW w:w="49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0631BF67"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[5]</w:t>
            </w:r>
          </w:p>
        </w:tc>
        <w:tc>
          <w:tcPr>
            <w:tcW w:w="4710"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3D887795" w14:textId="77777777" w:rsidR="004A7B10" w:rsidRDefault="00000000">
            <w:pPr>
              <w:spacing w:before="440" w:after="440" w:line="342" w:lineRule="auto"/>
              <w:rPr>
                <w:rFonts w:ascii="Arial" w:eastAsia="Arial" w:hAnsi="Arial" w:cs="Arial"/>
                <w:sz w:val="21"/>
                <w:szCs w:val="21"/>
              </w:rPr>
            </w:pPr>
            <w:r>
              <w:rPr>
                <w:rFonts w:ascii="Arial" w:eastAsia="Arial" w:hAnsi="Arial" w:cs="Arial"/>
                <w:i/>
                <w:iCs/>
                <w:sz w:val="21"/>
                <w:szCs w:val="21"/>
              </w:rPr>
              <w:t>Foreign Relations of the United States, 1948,</w:t>
            </w:r>
            <w:r>
              <w:rPr>
                <w:rFonts w:ascii="Arial" w:eastAsia="Arial" w:hAnsi="Arial" w:cs="Arial"/>
                <w:sz w:val="21"/>
                <w:szCs w:val="21"/>
              </w:rPr>
              <w:t xml:space="preserve"> Vol. V, Part 2, Document 69. U.S. Dept. of State, Office of the Historian. (</w:t>
            </w:r>
            <w:hyperlink r:id="rId33">
              <w:r>
                <w:rPr>
                  <w:rFonts w:ascii="Arial" w:eastAsia="Arial" w:hAnsi="Arial" w:cs="Arial"/>
                  <w:sz w:val="21"/>
                  <w:szCs w:val="21"/>
                  <w:u w:val="single"/>
                </w:rPr>
                <w:t>link</w:t>
              </w:r>
            </w:hyperlink>
            <w:r>
              <w:rPr>
                <w:rFonts w:ascii="Arial" w:eastAsia="Arial" w:hAnsi="Arial" w:cs="Arial"/>
                <w:sz w:val="21"/>
                <w:szCs w:val="21"/>
              </w:rPr>
              <w:t>)</w:t>
            </w:r>
          </w:p>
        </w:tc>
        <w:tc>
          <w:tcPr>
            <w:tcW w:w="238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37606C91" w14:textId="77777777" w:rsidR="004A7B10" w:rsidRDefault="00000000">
            <w:pPr>
              <w:spacing w:before="440" w:after="440" w:line="342" w:lineRule="auto"/>
              <w:rPr>
                <w:rFonts w:ascii="Arial" w:eastAsia="Arial" w:hAnsi="Arial" w:cs="Arial"/>
                <w:sz w:val="21"/>
                <w:szCs w:val="21"/>
              </w:rPr>
            </w:pPr>
            <w:sdt>
              <w:sdtPr>
                <w:tag w:val="goog_rdk_0"/>
                <w:id w:val="406531348"/>
              </w:sdtPr>
              <w:sdtContent>
                <w:r>
                  <w:rPr>
                    <w:rFonts w:ascii="Arial Unicode MS" w:eastAsia="Arial Unicode MS" w:hAnsi="Arial Unicode MS" w:cs="Arial Unicode MS"/>
                    <w:sz w:val="21"/>
                    <w:szCs w:val="21"/>
                  </w:rPr>
                  <w:t>✅ Primary U.S. government source — excellent</w:t>
                </w:r>
              </w:sdtContent>
            </w:sdt>
          </w:p>
        </w:tc>
      </w:tr>
      <w:tr w:rsidR="004A7B10" w14:paraId="526FCE2F" w14:textId="77777777">
        <w:trPr>
          <w:trHeight w:val="1035"/>
        </w:trPr>
        <w:tc>
          <w:tcPr>
            <w:tcW w:w="49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5441EA58"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lastRenderedPageBreak/>
              <w:t>[6]</w:t>
            </w:r>
          </w:p>
        </w:tc>
        <w:tc>
          <w:tcPr>
            <w:tcW w:w="4710"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7FC8122C"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 xml:space="preserve">Collins, L. and Lapierre, D. </w:t>
            </w:r>
            <w:r>
              <w:rPr>
                <w:rFonts w:ascii="Arial" w:eastAsia="Arial" w:hAnsi="Arial" w:cs="Arial"/>
                <w:i/>
                <w:iCs/>
                <w:sz w:val="21"/>
                <w:szCs w:val="21"/>
              </w:rPr>
              <w:t>O Jerusalem</w:t>
            </w:r>
            <w:r>
              <w:rPr>
                <w:rFonts w:ascii="Arial" w:eastAsia="Arial" w:hAnsi="Arial" w:cs="Arial"/>
                <w:sz w:val="21"/>
                <w:szCs w:val="21"/>
              </w:rPr>
              <w:t xml:space="preserve"> (New York: Simon &amp; Schuster, 1972), p. 400</w:t>
            </w:r>
          </w:p>
        </w:tc>
        <w:tc>
          <w:tcPr>
            <w:tcW w:w="238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396E2AE1"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Solid; verify page number against physical copy</w:t>
            </w:r>
          </w:p>
        </w:tc>
      </w:tr>
      <w:tr w:rsidR="004A7B10" w14:paraId="2B0403F6" w14:textId="77777777">
        <w:trPr>
          <w:trHeight w:val="1035"/>
        </w:trPr>
        <w:tc>
          <w:tcPr>
            <w:tcW w:w="49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2645AFC0"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[7]</w:t>
            </w:r>
          </w:p>
        </w:tc>
        <w:tc>
          <w:tcPr>
            <w:tcW w:w="4710"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5A7427F3"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 xml:space="preserve">Morris, B. </w:t>
            </w:r>
            <w:r>
              <w:rPr>
                <w:rFonts w:ascii="Arial" w:eastAsia="Arial" w:hAnsi="Arial" w:cs="Arial"/>
                <w:i/>
                <w:iCs/>
                <w:sz w:val="21"/>
                <w:szCs w:val="21"/>
              </w:rPr>
              <w:t>The Birth of the Palestinian Refugee Problem Revisited</w:t>
            </w:r>
            <w:r>
              <w:rPr>
                <w:rFonts w:ascii="Arial" w:eastAsia="Arial" w:hAnsi="Arial" w:cs="Arial"/>
                <w:sz w:val="21"/>
                <w:szCs w:val="21"/>
              </w:rPr>
              <w:t xml:space="preserve"> (Cambridge: Cambridge University Press, 2004)</w:t>
            </w:r>
          </w:p>
        </w:tc>
        <w:tc>
          <w:tcPr>
            <w:tcW w:w="238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352D6EE4"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Add page number if possible</w:t>
            </w:r>
          </w:p>
        </w:tc>
      </w:tr>
      <w:tr w:rsidR="004A7B10" w14:paraId="4137130F" w14:textId="77777777">
        <w:trPr>
          <w:trHeight w:val="1335"/>
        </w:trPr>
        <w:tc>
          <w:tcPr>
            <w:tcW w:w="49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5418B3C1"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[8]</w:t>
            </w:r>
          </w:p>
        </w:tc>
        <w:tc>
          <w:tcPr>
            <w:tcW w:w="4710"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52B4E694"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 xml:space="preserve">"The Arabs of Haifa," </w:t>
            </w:r>
            <w:r>
              <w:rPr>
                <w:rFonts w:ascii="Arial" w:eastAsia="Arial" w:hAnsi="Arial" w:cs="Arial"/>
                <w:i/>
                <w:iCs/>
                <w:sz w:val="21"/>
                <w:szCs w:val="21"/>
              </w:rPr>
              <w:t>Time Magazine</w:t>
            </w:r>
            <w:r>
              <w:rPr>
                <w:rFonts w:ascii="Arial" w:eastAsia="Arial" w:hAnsi="Arial" w:cs="Arial"/>
                <w:sz w:val="21"/>
                <w:szCs w:val="21"/>
              </w:rPr>
              <w:t xml:space="preserve">, May 3, 1948; documented in CAMERA, </w:t>
            </w:r>
            <w:r>
              <w:rPr>
                <w:rFonts w:ascii="Arial" w:eastAsia="Arial" w:hAnsi="Arial" w:cs="Arial"/>
                <w:i/>
                <w:iCs/>
                <w:sz w:val="21"/>
                <w:szCs w:val="21"/>
              </w:rPr>
              <w:t>"Contradicting Its Own Archives"</w:t>
            </w:r>
            <w:r>
              <w:rPr>
                <w:rFonts w:ascii="Arial" w:eastAsia="Arial" w:hAnsi="Arial" w:cs="Arial"/>
                <w:sz w:val="21"/>
                <w:szCs w:val="21"/>
              </w:rPr>
              <w:t xml:space="preserve"> (</w:t>
            </w:r>
            <w:hyperlink r:id="rId34">
              <w:r>
                <w:rPr>
                  <w:rFonts w:ascii="Arial" w:eastAsia="Arial" w:hAnsi="Arial" w:cs="Arial"/>
                  <w:sz w:val="21"/>
                  <w:szCs w:val="21"/>
                  <w:u w:val="single"/>
                </w:rPr>
                <w:t>link</w:t>
              </w:r>
            </w:hyperlink>
            <w:r>
              <w:rPr>
                <w:rFonts w:ascii="Arial" w:eastAsia="Arial" w:hAnsi="Arial" w:cs="Arial"/>
                <w:sz w:val="21"/>
                <w:szCs w:val="21"/>
              </w:rPr>
              <w:t>)</w:t>
            </w:r>
          </w:p>
        </w:tc>
        <w:tc>
          <w:tcPr>
            <w:tcW w:w="238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00FE9216"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No direct digital link to original Time article; CAMERA is valid secondary citation</w:t>
            </w:r>
          </w:p>
        </w:tc>
      </w:tr>
      <w:tr w:rsidR="004A7B10" w14:paraId="669909E9" w14:textId="77777777">
        <w:trPr>
          <w:trHeight w:val="735"/>
        </w:trPr>
        <w:tc>
          <w:tcPr>
            <w:tcW w:w="49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78E301B6"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[9]</w:t>
            </w:r>
          </w:p>
        </w:tc>
        <w:tc>
          <w:tcPr>
            <w:tcW w:w="4710"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37C59190"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 xml:space="preserve">CAMERA, </w:t>
            </w:r>
            <w:r>
              <w:rPr>
                <w:rFonts w:ascii="Arial" w:eastAsia="Arial" w:hAnsi="Arial" w:cs="Arial"/>
                <w:i/>
                <w:iCs/>
                <w:sz w:val="21"/>
                <w:szCs w:val="21"/>
              </w:rPr>
              <w:t>"Backgrounder: Palestinian Arab and Jewish Refugees"</w:t>
            </w:r>
            <w:r>
              <w:rPr>
                <w:rFonts w:ascii="Arial" w:eastAsia="Arial" w:hAnsi="Arial" w:cs="Arial"/>
                <w:sz w:val="21"/>
                <w:szCs w:val="21"/>
              </w:rPr>
              <w:t xml:space="preserve"> (</w:t>
            </w:r>
            <w:hyperlink r:id="rId35">
              <w:r>
                <w:rPr>
                  <w:rFonts w:ascii="Arial" w:eastAsia="Arial" w:hAnsi="Arial" w:cs="Arial"/>
                  <w:sz w:val="21"/>
                  <w:szCs w:val="21"/>
                  <w:u w:val="single"/>
                </w:rPr>
                <w:t>link</w:t>
              </w:r>
            </w:hyperlink>
            <w:r>
              <w:rPr>
                <w:rFonts w:ascii="Arial" w:eastAsia="Arial" w:hAnsi="Arial" w:cs="Arial"/>
                <w:sz w:val="21"/>
                <w:szCs w:val="21"/>
              </w:rPr>
              <w:t>)</w:t>
            </w:r>
          </w:p>
        </w:tc>
        <w:tc>
          <w:tcPr>
            <w:tcW w:w="2385" w:type="dxa"/>
            <w:tcBorders>
              <w:top w:val="single" w:sz="6" w:space="0" w:color="000000"/>
              <w:left w:val="single" w:sz="6" w:space="0" w:color="000000"/>
              <w:bottom w:val="single" w:sz="6" w:space="0" w:color="000000"/>
              <w:right w:val="single" w:sz="6" w:space="0" w:color="000000"/>
            </w:tcBorders>
            <w:tcMar>
              <w:top w:w="120" w:type="dxa"/>
              <w:left w:w="0" w:type="dxa"/>
              <w:bottom w:w="120" w:type="dxa"/>
              <w:right w:w="0" w:type="dxa"/>
            </w:tcMar>
            <w:vAlign w:val="center"/>
          </w:tcPr>
          <w:p w14:paraId="316E1143" w14:textId="77777777" w:rsidR="004A7B10" w:rsidRDefault="00000000">
            <w:pPr>
              <w:spacing w:before="440" w:after="440" w:line="342" w:lineRule="auto"/>
              <w:rPr>
                <w:rFonts w:ascii="Arial" w:eastAsia="Arial" w:hAnsi="Arial" w:cs="Arial"/>
                <w:sz w:val="21"/>
                <w:szCs w:val="21"/>
              </w:rPr>
            </w:pPr>
            <w:r>
              <w:rPr>
                <w:rFonts w:ascii="Arial" w:eastAsia="Arial" w:hAnsi="Arial" w:cs="Arial"/>
                <w:sz w:val="21"/>
                <w:szCs w:val="21"/>
              </w:rPr>
              <w:t>Solid</w:t>
            </w:r>
          </w:p>
        </w:tc>
      </w:tr>
    </w:tbl>
    <w:p w14:paraId="181E0FEE" w14:textId="77777777" w:rsidR="004A7B10" w:rsidRDefault="00000000">
      <w:r>
        <w:t xml:space="preserve"> </w:t>
      </w:r>
    </w:p>
    <w:p w14:paraId="5455E099" w14:textId="77777777" w:rsidR="004A7B10" w:rsidRDefault="004A7B10"/>
    <w:p w14:paraId="7D961DD4" w14:textId="77777777" w:rsidR="004A7B10" w:rsidRDefault="00000000">
      <w:r>
        <w:br w:type="page"/>
      </w:r>
    </w:p>
    <w:p w14:paraId="03033C77" w14:textId="77777777" w:rsidR="004A7B10" w:rsidRDefault="00000000">
      <w:r>
        <w:lastRenderedPageBreak/>
        <w:t>Letter 3</w:t>
      </w:r>
    </w:p>
    <w:p w14:paraId="2E334AD1" w14:textId="77777777" w:rsidR="004A7B10" w:rsidRDefault="00000000">
      <w:pPr>
        <w:rPr>
          <w:b/>
          <w:bCs/>
        </w:rPr>
      </w:pPr>
      <w:r>
        <w:rPr>
          <w:b/>
          <w:bCs/>
        </w:rPr>
        <w:t>Antizionism: Today’s Jew Hatred (Author: Deborah Statman)</w:t>
      </w:r>
    </w:p>
    <w:p w14:paraId="00CA0681" w14:textId="77777777" w:rsidR="004A7B10" w:rsidRDefault="00000000">
      <w:r>
        <w:t xml:space="preserve">  </w:t>
      </w:r>
    </w:p>
    <w:p w14:paraId="61682D6C" w14:textId="77777777" w:rsidR="004A7B10" w:rsidRDefault="00000000">
      <w:r>
        <w:t>Antizionism is antisemitism. Do not be fooled.</w:t>
      </w:r>
    </w:p>
    <w:p w14:paraId="74A368AA" w14:textId="77777777" w:rsidR="004A7B10" w:rsidRDefault="00000000">
      <w:r>
        <w:t>A call for the death of all Zionists or to “globalize the intifada” is not criticism of Israel, its policies, or its government. It is an expression of hatred directed at the Jewish people.  The terms “Jew” and “Zionist” are used interchangeably, by design, as antisemites seek to disguise their Jew hatred in the language of politics, social justice, and artistic expression.</w:t>
      </w:r>
    </w:p>
    <w:p w14:paraId="3BF344A8" w14:textId="77777777" w:rsidR="004A7B10" w:rsidRDefault="00000000">
      <w:r>
        <w:t xml:space="preserve">Antizionism is the central ideology of the Free Palestine movement in a decades-long campaign (“Mass Manipulation Campaign”), one that relies on the repeated assertion of lies about the Jewish people and the Jewish state to normalize antisemitism and antisemitic incitement. The movement constructed a deliberate vocabulary consisting of words and phrases, chosen for their association with the concept of “evil,” and which are designed to demonize both the Jewish people and the Jewish State. Labels like “apartheid” and “genocide” and “starvation” are asserted as indisputable fact or truth, despite the absence of any evidentiary basis. </w:t>
      </w:r>
    </w:p>
    <w:p w14:paraId="7E9DC774" w14:textId="77777777" w:rsidR="004A7B10" w:rsidRDefault="00000000">
      <w:r>
        <w:t>Narratives once widely recognized as expressions of antisemitism are increasingly repackaged under the  pretense of “antizionism” and falsely characterized as political speech, social justice activism, artistic expression and/or education. Language invoking "human rights" and “free speech” is frequently used to obscure their deliberate campaign. The result is that this rhetoric has become accepted as ordinary political and other discourse rather than recognized for what it is: a modern iteration of antisemitism and antisemitic incitement.</w:t>
      </w:r>
    </w:p>
    <w:p w14:paraId="05F9B8F6" w14:textId="77777777" w:rsidR="004A7B10" w:rsidRDefault="00000000">
      <w:r>
        <w:t xml:space="preserve">Antizionism is the ideology that tells the world Jewish suffering does not count because Jews are now recast as the ultimate evil. They are the building blocks of a false ideology to isolate the Jewish people with the ultimate goal of eradicating Jewish existence.  </w:t>
      </w:r>
    </w:p>
    <w:p w14:paraId="583966BE" w14:textId="77777777" w:rsidR="004A7B10" w:rsidRDefault="00000000">
      <w:r>
        <w:t>Hamas' October 7 massacre did not launch the Mass Manipulation Campaign; it supercharged it. The attack handed the movement exactly what years of groundwork had been building toward: an emotionally overwhelming, geopolitically complex event that could be immediately seized, reframed, and weaponized before the bodies were even counted.  The movement understood what propagandists and political strategists have long known: moments of chaos, grief, and moral confusion create fertile ground for manipulation and October 7 provided the perfect opportunity.</w:t>
      </w:r>
    </w:p>
    <w:p w14:paraId="2D277BC3" w14:textId="77777777" w:rsidR="004A7B10" w:rsidRDefault="004A7B10"/>
    <w:p w14:paraId="5EC3C187" w14:textId="77777777" w:rsidR="004A7B10" w:rsidRDefault="00000000">
      <w:r>
        <w:lastRenderedPageBreak/>
        <w:t xml:space="preserve">The inversion was not new; it had been practiced and perfected for decades. It had built the infrastructure: the language, the networks, the institutions, the primed audiences on university campuses and in the streets. October 7 gave the movement its most powerful raw material yet. The deliberate slaughter of babies, the elderly, women, festivalgoers, all stripped of its context within hours and fed into a narrative machine that had been running for decades. For a campaign that had spent years normalizing the vocabulary of demonization: "apartheid," "genocide," "settler-colonialism," October 7 was the culmination of the perfect synthesis to maximize and advance their evil ideology. </w:t>
      </w:r>
    </w:p>
    <w:p w14:paraId="16E44225" w14:textId="77777777" w:rsidR="004A7B10" w:rsidRDefault="00000000">
      <w:r>
        <w:t xml:space="preserve">Simple examples of what antizionism targets and how it is expressed in practice, reveal its underlying function: Jew hatred.  </w:t>
      </w:r>
    </w:p>
    <w:p w14:paraId="4DCA40B6" w14:textId="77777777" w:rsidR="004A7B10" w:rsidRDefault="00000000">
      <w:pPr>
        <w:numPr>
          <w:ilvl w:val="0"/>
          <w:numId w:val="8"/>
        </w:numPr>
      </w:pPr>
      <w:r>
        <w:t>Antizionism is what people scream before Jews are attacked.</w:t>
      </w:r>
    </w:p>
    <w:p w14:paraId="63215397" w14:textId="77777777" w:rsidR="004A7B10" w:rsidRDefault="00000000">
      <w:pPr>
        <w:numPr>
          <w:ilvl w:val="0"/>
          <w:numId w:val="8"/>
        </w:numPr>
      </w:pPr>
      <w:r>
        <w:t>Antizionism provides moral cover for celebrating the massacres on October 7.</w:t>
      </w:r>
    </w:p>
    <w:p w14:paraId="1090C105" w14:textId="77777777" w:rsidR="004A7B10" w:rsidRDefault="00000000">
      <w:pPr>
        <w:numPr>
          <w:ilvl w:val="0"/>
          <w:numId w:val="8"/>
        </w:numPr>
        <w:spacing w:after="0"/>
      </w:pPr>
      <w:r>
        <w:t>Antizionism is what was spray-painted on Jewish-owned businesses the morning after October 7.</w:t>
      </w:r>
    </w:p>
    <w:p w14:paraId="1C498548" w14:textId="77777777" w:rsidR="004A7B10" w:rsidRDefault="00000000">
      <w:pPr>
        <w:numPr>
          <w:ilvl w:val="0"/>
          <w:numId w:val="8"/>
        </w:numPr>
        <w:spacing w:after="0"/>
      </w:pPr>
      <w:r>
        <w:t>Antizionism is what protesters chanted outside the Cooper Union library while Jewish students barricaded themselves inside.</w:t>
      </w:r>
    </w:p>
    <w:p w14:paraId="4B8AD1EE" w14:textId="77777777" w:rsidR="004A7B10" w:rsidRDefault="00000000">
      <w:pPr>
        <w:numPr>
          <w:ilvl w:val="0"/>
          <w:numId w:val="8"/>
        </w:numPr>
        <w:spacing w:after="0"/>
      </w:pPr>
      <w:r>
        <w:rPr>
          <w:rFonts w:ascii="Times New Roman" w:eastAsia="Times New Roman" w:hAnsi="Times New Roman" w:cs="Times New Roman"/>
          <w:sz w:val="14"/>
          <w:szCs w:val="14"/>
        </w:rPr>
        <w:t xml:space="preserve"> </w:t>
      </w:r>
      <w:r>
        <w:t xml:space="preserve">It is what mobs chant while they surround synagogues.  </w:t>
      </w:r>
    </w:p>
    <w:p w14:paraId="27A468D6" w14:textId="77777777" w:rsidR="004A7B10" w:rsidRDefault="00000000">
      <w:pPr>
        <w:numPr>
          <w:ilvl w:val="0"/>
          <w:numId w:val="8"/>
        </w:numPr>
        <w:spacing w:after="0"/>
      </w:pPr>
      <w:r>
        <w:t>Antizionism is what was written on the signs of those who blocked Jewish students from crossing a university campus.</w:t>
      </w:r>
    </w:p>
    <w:p w14:paraId="69569742" w14:textId="77777777" w:rsidR="004A7B10" w:rsidRDefault="00000000">
      <w:pPr>
        <w:numPr>
          <w:ilvl w:val="0"/>
          <w:numId w:val="8"/>
        </w:numPr>
        <w:spacing w:after="0"/>
      </w:pPr>
      <w:r>
        <w:t>Antizionism is what student encampments chanted outside Jewish student centers while demanding Jews inside denounce Israel to earn safe passage.</w:t>
      </w:r>
    </w:p>
    <w:p w14:paraId="39F59DB0" w14:textId="77777777" w:rsidR="004A7B10" w:rsidRDefault="00000000">
      <w:pPr>
        <w:numPr>
          <w:ilvl w:val="0"/>
          <w:numId w:val="1"/>
        </w:numPr>
        <w:spacing w:after="0"/>
      </w:pPr>
      <w:r>
        <w:t>It is what masked keffiyeh clad mobs express while they protest in our streets waving Hamas and Hezbollah flags shouting to globalize the intifada.</w:t>
      </w:r>
    </w:p>
    <w:p w14:paraId="1EAF3332" w14:textId="77777777" w:rsidR="004A7B10" w:rsidRDefault="00000000">
      <w:r>
        <w:t xml:space="preserve"> </w:t>
      </w:r>
    </w:p>
    <w:p w14:paraId="424BB8DD" w14:textId="77777777" w:rsidR="004A7B10" w:rsidRDefault="00000000">
      <w:r>
        <w:t xml:space="preserve">To understand antizionism, one must first understand Zionism. Zionism is the belief that the Jewish people constitute a nation with the right to a homeland in their ancestral homeland, the land of Israel now the State of Israel.  The promise of a homeland is foundational to the religious and cultural beliefs and historical identity of the Jewish people throughout the world. For Jews, expressing support for their ancestral homeland is not a political position detached from personal identity but rather is a sincere and deeply felt expression of a shared religious faith and history, and ethnic belonging. Harassing, marginalizing, demonizing, and excluding Jewish people on the basis of a basic component of their Jewish identity; their Zionism is no less discriminatory than attacking a Jewish person for wearing a kippah, a religious head covering.  </w:t>
      </w:r>
    </w:p>
    <w:p w14:paraId="6DFFDCDC" w14:textId="77777777" w:rsidR="004A7B10" w:rsidRDefault="00000000">
      <w:r>
        <w:t xml:space="preserve">The International Holocaust Remembrance Alliance’s working definition of antisemitism (“IHRA”) adopted by over 35 national governments and hundreds of institutions worldwide is </w:t>
      </w:r>
      <w:r>
        <w:lastRenderedPageBreak/>
        <w:t>unambiguous: what is being described under the guise of antizionism is antisemitism.</w:t>
      </w:r>
      <w:r>
        <w:rPr>
          <w:i/>
          <w:iCs/>
        </w:rPr>
        <w:t xml:space="preserve"> </w:t>
      </w:r>
      <w:r>
        <w:t>Criticism of Israel, similar to that leveled against any other country, does not constitute antisemitism. But demonizing the Jewish state, calling for its destruction, holding Jews and Israelis responsible for the actions of the Israeli government, and/or applying double standards to Israel, are the classic markers of antisemitism under IHRA.</w:t>
      </w:r>
    </w:p>
    <w:p w14:paraId="0BC8D751" w14:textId="77777777" w:rsidR="004A7B10" w:rsidRDefault="00000000">
      <w:r>
        <w:t>History has shown where this road leads.  Sick societies that normalized Jew hatred inevitably led to their destruction.</w:t>
      </w:r>
    </w:p>
    <w:p w14:paraId="32F8E76A" w14:textId="77777777" w:rsidR="004A7B10" w:rsidRDefault="00000000">
      <w:r>
        <w:t>Tsarist Russia institutionalized antisemitism through state-sponsored pogroms, legal restrictions confining Jews to the Pale of Settlement, and government propaganda portraying Jews as enemies of the Russian people. That society did not survive. The regime that made Jew-hatred a pillar of its social order collapsed in revolution and chaos.</w:t>
      </w:r>
    </w:p>
    <w:p w14:paraId="11D28EB3" w14:textId="77777777" w:rsidR="004A7B10" w:rsidRDefault="00000000">
      <w:r>
        <w:t>Medieval Spain expelled its Jewish population in 1492 under the Inquisition, stripping the country of merchants, physicians, scholars, and financiers who had sustained its civilization for centuries. What followed was not a purified nation, it was an accelerated decline.</w:t>
      </w:r>
    </w:p>
    <w:p w14:paraId="55B91D8D" w14:textId="77777777" w:rsidR="004A7B10" w:rsidRDefault="00000000">
      <w:r>
        <w:t>The normalization of Jew hatred is what permitted the Nazi genocide of six million Jews. A nonstop campaign teaching Europeans that Jews were evil and the enemies of humanity, made extermination not only possible but righteous and justified.</w:t>
      </w:r>
    </w:p>
    <w:p w14:paraId="39AF90BA" w14:textId="77777777" w:rsidR="004A7B10" w:rsidRDefault="00000000">
      <w:r>
        <w:t>The pattern is not a coincidence. It is a warning.</w:t>
      </w:r>
    </w:p>
    <w:p w14:paraId="1F4FF5A1" w14:textId="77777777" w:rsidR="004A7B10" w:rsidRDefault="00000000">
      <w:r>
        <w:t>When a society loses the ability to name Jew-hatred for what it is, it has already taken the first step toward tolerating what comes next.</w:t>
      </w:r>
    </w:p>
    <w:p w14:paraId="598EF4F5" w14:textId="77777777" w:rsidR="004A7B10" w:rsidRDefault="004A7B10"/>
    <w:p w14:paraId="5C58422E" w14:textId="77777777" w:rsidR="004A7B10" w:rsidRDefault="00000000">
      <w:r>
        <w:t xml:space="preserve">END - no citations - more of an opinion piece for now </w:t>
      </w:r>
    </w:p>
    <w:p w14:paraId="40EFBD1F" w14:textId="77777777" w:rsidR="004A7B10" w:rsidRDefault="004A7B10"/>
    <w:sectPr w:rsidR="004A7B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463A89-D5C3-4DDF-99E3-BA15836E530B}"/>
    <w:embedBold r:id="rId2" w:fontKey="{56498D66-8AF1-426C-A356-85910B5357F5}"/>
    <w:embedItalic r:id="rId3" w:fontKey="{466C4710-1AA1-4AFF-80F6-DB4E6F83CBCB}"/>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053ADFF9-4EA6-4D3D-B27C-D91962A4E6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CD8"/>
    <w:multiLevelType w:val="multilevel"/>
    <w:tmpl w:val="816E0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897D3D"/>
    <w:multiLevelType w:val="multilevel"/>
    <w:tmpl w:val="E4D8DC54"/>
    <w:lvl w:ilvl="0">
      <w:start w:val="5"/>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4B617B"/>
    <w:multiLevelType w:val="multilevel"/>
    <w:tmpl w:val="0F1AD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D4303B"/>
    <w:multiLevelType w:val="multilevel"/>
    <w:tmpl w:val="E6084BBC"/>
    <w:lvl w:ilvl="0">
      <w:start w:val="4"/>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75D5CE6"/>
    <w:multiLevelType w:val="multilevel"/>
    <w:tmpl w:val="66BCA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394747"/>
    <w:multiLevelType w:val="multilevel"/>
    <w:tmpl w:val="4BE4CB5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BB25AC"/>
    <w:multiLevelType w:val="multilevel"/>
    <w:tmpl w:val="0310F600"/>
    <w:lvl w:ilvl="0">
      <w:start w:val="2"/>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58C8470D"/>
    <w:multiLevelType w:val="multilevel"/>
    <w:tmpl w:val="E34ECA92"/>
    <w:lvl w:ilvl="0">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0833523">
    <w:abstractNumId w:val="2"/>
  </w:num>
  <w:num w:numId="2" w16cid:durableId="63375529">
    <w:abstractNumId w:val="5"/>
  </w:num>
  <w:num w:numId="3" w16cid:durableId="376471498">
    <w:abstractNumId w:val="7"/>
  </w:num>
  <w:num w:numId="4" w16cid:durableId="1612660202">
    <w:abstractNumId w:val="6"/>
  </w:num>
  <w:num w:numId="5" w16cid:durableId="511650876">
    <w:abstractNumId w:val="3"/>
  </w:num>
  <w:num w:numId="6" w16cid:durableId="97067398">
    <w:abstractNumId w:val="1"/>
  </w:num>
  <w:num w:numId="7" w16cid:durableId="1657686365">
    <w:abstractNumId w:val="4"/>
  </w:num>
  <w:num w:numId="8" w16cid:durableId="21825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B10"/>
    <w:rsid w:val="00132CA2"/>
    <w:rsid w:val="00356C08"/>
    <w:rsid w:val="004660F4"/>
    <w:rsid w:val="004A7B10"/>
    <w:rsid w:val="006B0EFF"/>
    <w:rsid w:val="007C31EE"/>
    <w:rsid w:val="00817072"/>
    <w:rsid w:val="0082097F"/>
    <w:rsid w:val="00CA7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0652"/>
  <w15:docId w15:val="{7974C749-52DB-4A23-BB34-818942993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air.com/press_releases/new-cair-on-air-podcast-how-do-anti-muslim-hate-and-anti-palestinian-racism-overlap/" TargetMode="External"/><Relationship Id="rId18" Type="http://schemas.openxmlformats.org/officeDocument/2006/relationships/hyperlink" Target="https://docs.google.com/document/d/e/2PACX-1vTLXbpCZ2C6_MHKp2VH7fEeM-0v700SLdld3FFIgjuYqQrGqBv9FB8tHMR-wK82Y4kTfLfUlCIjauq-/pub" TargetMode="External"/><Relationship Id="rId26" Type="http://schemas.openxmlformats.org/officeDocument/2006/relationships/hyperlink" Target="https://2001-2009.state.gov/r/pa/ho/time/cwr/97178.htm" TargetMode="External"/><Relationship Id="rId21" Type="http://schemas.openxmlformats.org/officeDocument/2006/relationships/hyperlink" Target="https://learn.library.torontomu.ca/c.php?g=739323&amp;p=5401904" TargetMode="External"/><Relationship Id="rId34" Type="http://schemas.openxmlformats.org/officeDocument/2006/relationships/hyperlink" Target="https://www.camera.org/article/contradicting-its-own-archives-new-york-times-expulsion-escape-of-haifas-arabs" TargetMode="External"/><Relationship Id="rId7" Type="http://schemas.openxmlformats.org/officeDocument/2006/relationships/hyperlink" Target="https://antipalestinianracism.org/" TargetMode="External"/><Relationship Id="rId12" Type="http://schemas.openxmlformats.org/officeDocument/2006/relationships/hyperlink" Target="http://www.cair.com/wp-content/uploads/2026/04/The-Right-to-be-Different-2026.pdf" TargetMode="External"/><Relationship Id="rId17" Type="http://schemas.openxmlformats.org/officeDocument/2006/relationships/hyperlink" Target="https://drive.google.com/file/d/1vJhc-tsx0fggkTw0jCns4fcikyDuDOdU/view" TargetMode="External"/><Relationship Id="rId25" Type="http://schemas.openxmlformats.org/officeDocument/2006/relationships/hyperlink" Target="https://avalon.law.yale.edu/20th_century/res181.asp" TargetMode="External"/><Relationship Id="rId33" Type="http://schemas.openxmlformats.org/officeDocument/2006/relationships/hyperlink" Target="https://history.state.gov/historicaldocuments/frus1948v05p2/d69" TargetMode="External"/><Relationship Id="rId2" Type="http://schemas.openxmlformats.org/officeDocument/2006/relationships/customXml" Target="../customXml/item2.xml"/><Relationship Id="rId16" Type="http://schemas.openxmlformats.org/officeDocument/2006/relationships/hyperlink" Target="https://www.americanbar.org/groups/crsj/resources/human-rights/2024-november/recognizing-islamophobia-anti-palestinian-racism-and-antisemitsm/" TargetMode="External"/><Relationship Id="rId20" Type="http://schemas.openxmlformats.org/officeDocument/2006/relationships/hyperlink" Target="https://pomeps.org/anti-palestinian-racism-analyzing-the-unnamed-and-suppressed-reality" TargetMode="External"/><Relationship Id="rId29" Type="http://schemas.openxmlformats.org/officeDocument/2006/relationships/hyperlink" Target="https://www.camera.org/article/contradicting-its-own-archives-new-york-times-expulsion-escape-of-haifas-arab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justice.gov/crt/fcs/TitleVI" TargetMode="External"/><Relationship Id="rId24" Type="http://schemas.openxmlformats.org/officeDocument/2006/relationships/hyperlink" Target="https://petition.parliament.uk/petitions/716576" TargetMode="External"/><Relationship Id="rId32" Type="http://schemas.openxmlformats.org/officeDocument/2006/relationships/hyperlink" Target="https://www.jewishvirtuallibrary.org/map-of-the-u-n-partition-plan"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instagram.com/antipalestinianracism/" TargetMode="External"/><Relationship Id="rId23" Type="http://schemas.openxmlformats.org/officeDocument/2006/relationships/hyperlink" Target="https://pmc.ncbi.nlm.nih.gov/articles/PMC11249121/" TargetMode="External"/><Relationship Id="rId28" Type="http://schemas.openxmlformats.org/officeDocument/2006/relationships/hyperlink" Target="https://history.state.gov/historicaldocuments/frus1948v05p2/d69" TargetMode="External"/><Relationship Id="rId36" Type="http://schemas.openxmlformats.org/officeDocument/2006/relationships/fontTable" Target="fontTable.xml"/><Relationship Id="rId10" Type="http://schemas.openxmlformats.org/officeDocument/2006/relationships/hyperlink" Target="https://static1.squarespace.com/static/61db30d12e169a5c45950345/t/627dcf83fa17ad41ff217964/1652412292220/Anti-Palestinian+Racism-+Naming%2C+Framing+and+Manifestations.pdf" TargetMode="External"/><Relationship Id="rId19" Type="http://schemas.openxmlformats.org/officeDocument/2006/relationships/hyperlink" Target="https://ethnicstudies.berkeley.edu/resources/dismantling-anti-palestinian-racism" TargetMode="External"/><Relationship Id="rId31" Type="http://schemas.openxmlformats.org/officeDocument/2006/relationships/hyperlink" Target="https://jewishvirtuallibrary.org/jewish-refugees-from-arab-countries" TargetMode="External"/><Relationship Id="rId4" Type="http://schemas.openxmlformats.org/officeDocument/2006/relationships/styles" Target="styles.xml"/><Relationship Id="rId9" Type="http://schemas.openxmlformats.org/officeDocument/2006/relationships/hyperlink" Target="https://www.canarablaw.org/anti-palestinian-racism" TargetMode="External"/><Relationship Id="rId14" Type="http://schemas.openxmlformats.org/officeDocument/2006/relationships/hyperlink" Target="https://www.instagram.com/arabcanadianlawyersassoc/" TargetMode="External"/><Relationship Id="rId22" Type="http://schemas.openxmlformats.org/officeDocument/2006/relationships/hyperlink" Target="https://www.youtube.com/watch?v=IUhrL5mZUVk" TargetMode="External"/><Relationship Id="rId27" Type="http://schemas.openxmlformats.org/officeDocument/2006/relationships/hyperlink" Target="https://history.state.gov/historicaldocuments/frus1948v05p2/d69" TargetMode="External"/><Relationship Id="rId30" Type="http://schemas.openxmlformats.org/officeDocument/2006/relationships/hyperlink" Target="https://www.camera.org/article/backgrounder-palestinian-arab-and-jewish-refugees/" TargetMode="External"/><Relationship Id="rId35" Type="http://schemas.openxmlformats.org/officeDocument/2006/relationships/hyperlink" Target="https://www.camera.org/article/backgrounder-palestinian-arab-and-jewish-refugees" TargetMode="External"/><Relationship Id="rId8" Type="http://schemas.openxmlformats.org/officeDocument/2006/relationships/hyperlink" Target="https://www.antipalestinianracism.com/" TargetMode="Externa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UtpLbVs/S61t9m2T0ODhk7/JwA==">CgMxLjAaJAoBMBIfCh0IB0IZCgVBcmlhbBIQQXJpYWwgVW5pY29kZSBNUzgAciExYXhXREJfOGltNGJYZGZXczRkOHcxWFBrejJDWmRJR0I=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76919E-C2DA-4C96-8F2A-E003B69BA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3870</Words>
  <Characters>23299</Characters>
  <Application>Microsoft Office Word</Application>
  <DocSecurity>0</DocSecurity>
  <Lines>431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dc:creator>
  <cp:lastModifiedBy>Sandra Alfonsi</cp:lastModifiedBy>
  <cp:revision>3</cp:revision>
  <dcterms:created xsi:type="dcterms:W3CDTF">2026-06-02T08:37:00Z</dcterms:created>
  <dcterms:modified xsi:type="dcterms:W3CDTF">2026-06-02T08:43:00Z</dcterms:modified>
</cp:coreProperties>
</file>