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1C2776" w14:textId="0D46EE99" w:rsidR="004200F2" w:rsidRDefault="004200F2">
      <w:pPr>
        <w:spacing w:after="20"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noProof/>
          <w:color w:val="auto"/>
          <w:sz w:val="28"/>
          <w:szCs w:val="28"/>
        </w:rPr>
        <w:drawing>
          <wp:inline distT="0" distB="0" distL="0" distR="0" wp14:anchorId="753C2657" wp14:editId="0F7A8AEA">
            <wp:extent cx="3601329" cy="879083"/>
            <wp:effectExtent l="0" t="0" r="0" b="0"/>
            <wp:docPr id="3480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4590" name="Picture 3480945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798" cy="92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579C" w14:textId="5ACD6EAF" w:rsidR="005F2BA3" w:rsidRPr="00A969D3" w:rsidRDefault="005843ED">
      <w:pPr>
        <w:spacing w:after="20"/>
        <w:jc w:val="center"/>
        <w:rPr>
          <w:color w:val="auto"/>
        </w:rPr>
      </w:pPr>
      <w:r w:rsidRPr="00A969D3">
        <w:rPr>
          <w:b/>
          <w:bCs/>
          <w:color w:val="auto"/>
          <w:sz w:val="28"/>
          <w:szCs w:val="28"/>
        </w:rPr>
        <w:t>STANDARDY OCHRONY MAŁOLETNICH</w:t>
      </w:r>
    </w:p>
    <w:p w14:paraId="73E1579D" w14:textId="7322F7CE" w:rsidR="005F2BA3" w:rsidRPr="00A969D3" w:rsidRDefault="005843ED">
      <w:pPr>
        <w:spacing w:after="200"/>
        <w:jc w:val="center"/>
        <w:rPr>
          <w:color w:val="auto"/>
        </w:rPr>
      </w:pPr>
      <w:r w:rsidRPr="00A969D3">
        <w:rPr>
          <w:color w:val="auto"/>
          <w:sz w:val="17"/>
          <w:szCs w:val="17"/>
        </w:rPr>
        <w:t xml:space="preserve">La Neuron </w:t>
      </w:r>
      <w:r w:rsidR="00A969D3">
        <w:rPr>
          <w:color w:val="auto"/>
          <w:sz w:val="17"/>
          <w:szCs w:val="17"/>
        </w:rPr>
        <w:t>-</w:t>
      </w:r>
      <w:r w:rsidRPr="00A969D3">
        <w:rPr>
          <w:color w:val="auto"/>
          <w:sz w:val="17"/>
          <w:szCs w:val="17"/>
        </w:rPr>
        <w:t xml:space="preserve"> warsztaty edukacyjne </w:t>
      </w:r>
      <w:proofErr w:type="gramStart"/>
      <w:r w:rsidRPr="00A969D3">
        <w:rPr>
          <w:color w:val="auto"/>
          <w:sz w:val="17"/>
          <w:szCs w:val="17"/>
        </w:rPr>
        <w:t>STEAM  ·</w:t>
      </w:r>
      <w:proofErr w:type="gramEnd"/>
      <w:r w:rsidRPr="00A969D3">
        <w:rPr>
          <w:color w:val="auto"/>
          <w:sz w:val="17"/>
          <w:szCs w:val="17"/>
        </w:rPr>
        <w:t xml:space="preserve">  wersja pełna</w:t>
      </w:r>
    </w:p>
    <w:p w14:paraId="73E1579E" w14:textId="77777777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>Niniejsze Standardy Ochrony Małoletnich (dalej „Standardy”) przyjmuje PRIYADARSHINI GOUTHAMAN La Neuron, NIP 9452332113, REGON 545076260, ul. Dobrego Pasterza 120/3, 31-416 Kraków (dalej „La Neuron” lub „Organizator”), na podstawie art. 22b i art. 22c ustawy z dnia 13 maja 2016 r. o przeciwdziałaniu zagrożeniom przestępczością na tle seksualnym i ochronie małoletnich, w związku z prowadzeniem działalności edukacyjnej z udziałem małoletnich (warsztaty STEAM).</w:t>
      </w:r>
    </w:p>
    <w:p w14:paraId="73E1579F" w14:textId="77777777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>Naczelną zasadą wszystkich działań podejmowanych przez La Neuron jest działanie dla dobra małoletniego i w jego najlepszym interesie. Personel działa w ramach obowiązującego prawa, przepisów wewnętrznych oraz swoich kompetencji. Standardy obowiązują wszystkie osoby prowadzące zajęcia oraz współpracujące z La Neuron przy pracy z małoletnimi, bez względu na formę współpracy.</w:t>
      </w:r>
    </w:p>
    <w:p w14:paraId="73E157A0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I. Słownik pojęć</w:t>
      </w:r>
    </w:p>
    <w:p w14:paraId="73E157A1" w14:textId="7B9132B1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Małoletni (dziecko)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osoba, która nie ukończyła 18. roku życia.</w:t>
      </w:r>
    </w:p>
    <w:p w14:paraId="73E157A2" w14:textId="59F9C5D1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Personel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osoby prowadzące zajęcia oraz współpracujące z La Neuron przy pracy z małoletnimi, niezależnie od podstawy (umowa o pracę, umowa cywilnoprawna, współpraca B2B, wolontariat). Obecnie zajęcia prowadzi osobiście </w:t>
      </w:r>
      <w:proofErr w:type="spellStart"/>
      <w:r w:rsidRPr="00A969D3">
        <w:rPr>
          <w:color w:val="auto"/>
        </w:rPr>
        <w:t>Priyadarshini</w:t>
      </w:r>
      <w:proofErr w:type="spellEnd"/>
      <w:r w:rsidRPr="00A969D3">
        <w:rPr>
          <w:color w:val="auto"/>
        </w:rPr>
        <w:t xml:space="preserve"> Gouthaman.</w:t>
      </w:r>
    </w:p>
    <w:p w14:paraId="73E157A3" w14:textId="0EAEA22E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Opiekun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rodzic lub opiekun prawny małoletniego.</w:t>
      </w:r>
    </w:p>
    <w:p w14:paraId="73E157A4" w14:textId="2EBB331E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Osoba odpowiedzialna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osoba wyznaczona przez Organizatora do stosowania i nadzoru nad Standardami; obecnie jest nią </w:t>
      </w:r>
      <w:proofErr w:type="spellStart"/>
      <w:r w:rsidRPr="00A969D3">
        <w:rPr>
          <w:color w:val="auto"/>
        </w:rPr>
        <w:t>Priyadarshini</w:t>
      </w:r>
      <w:proofErr w:type="spellEnd"/>
      <w:r w:rsidRPr="00A969D3">
        <w:rPr>
          <w:color w:val="auto"/>
        </w:rPr>
        <w:t xml:space="preserve"> Gouthaman.</w:t>
      </w:r>
    </w:p>
    <w:p w14:paraId="73E157A5" w14:textId="72AFEF4A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Zgoda opiekuna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zgoda co najmniej jednego z opiekunów; w sprawach istotnych i spornych wymagana jest zgoda obojga.</w:t>
      </w:r>
    </w:p>
    <w:p w14:paraId="73E157A6" w14:textId="47DB73A3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Dane osobowe małoletniego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informacje umożliwiające identyfikację dziecka.</w:t>
      </w:r>
    </w:p>
    <w:p w14:paraId="73E157A7" w14:textId="3C5520E3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Krzywdzenie małoletniego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popełnienie czynu zabronionego lub czynu karalnego na szkodę dziecka, a także zaniedbanie zagrażające jego dobru; obejmuje w szczególności formy wskazane poniżej.</w:t>
      </w:r>
    </w:p>
    <w:p w14:paraId="73E157A8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Formy krzywdzenia</w:t>
      </w:r>
    </w:p>
    <w:p w14:paraId="73E157A9" w14:textId="081621AD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Przemoc fizyczna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zamierzone działanie powodujące ból, uraz lub ryzyko urazu (np. bicie, szarpanie, popychanie).</w:t>
      </w:r>
    </w:p>
    <w:p w14:paraId="73E157AA" w14:textId="0108FD10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Przemoc psychiczna (emocjonalna)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poniżanie, wyśmiewanie, zawstydzanie, straszenie, izolowanie, odrzucenie emocjonalne, wrogie traktowanie.</w:t>
      </w:r>
    </w:p>
    <w:p w14:paraId="73E157AB" w14:textId="63E7F9A1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Wykorzystywanie seksualne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angażowanie dziecka w aktywność seksualną, prezentowanie treści seksualnych, uwodzenie (grooming), także w kontaktach online.</w:t>
      </w:r>
    </w:p>
    <w:p w14:paraId="73E157AC" w14:textId="74A3813F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Zaniedbanie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niezaspokajanie podstawowych potrzeb dziecka lub brak należytego nadzoru zagrażający jego bezpieczeństwu.</w:t>
      </w:r>
    </w:p>
    <w:p w14:paraId="73E157AD" w14:textId="4FD16328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Przemoc rówieśnicza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krzywdzenie dziecka przez inne dziecko (fizyczne, słowne, relacyjne, o charakterze seksualnym), w tym cyberprzemoc.</w:t>
      </w:r>
    </w:p>
    <w:p w14:paraId="73E157AE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II. Osoby odpowiedzialne i ich zadania</w:t>
      </w:r>
    </w:p>
    <w:p w14:paraId="73E157AF" w14:textId="77777777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 xml:space="preserve">Ze względu na jednoosobowy charakter działalności wszystkie poniższe funkcje pełni obecnie </w:t>
      </w:r>
      <w:proofErr w:type="spellStart"/>
      <w:r w:rsidRPr="00A969D3">
        <w:rPr>
          <w:color w:val="auto"/>
        </w:rPr>
        <w:t>Priyadarshini</w:t>
      </w:r>
      <w:proofErr w:type="spellEnd"/>
      <w:r w:rsidRPr="00A969D3">
        <w:rPr>
          <w:color w:val="auto"/>
        </w:rPr>
        <w:t xml:space="preserve"> Gouthaman. W razie zaangażowania współpracowników funkcje mogą zostać rozdzielone, a zmiana zostanie odnotowana w Standardach.</w:t>
      </w:r>
    </w:p>
    <w:p w14:paraId="73E157B0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Osoba odpowiedzialna za wdrożenie i monitoring Standardów</w:t>
      </w:r>
    </w:p>
    <w:p w14:paraId="73E157B1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czuwa nad stosowaniem Standardów i ich okresowym przeglądem;</w:t>
      </w:r>
    </w:p>
    <w:p w14:paraId="73E157B2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przyjmuje uwagi dotyczące Standardów i inicjuje ich aktualizację;</w:t>
      </w:r>
    </w:p>
    <w:p w14:paraId="73E157B3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dba o udostępnienie Standardów opiekunom i małoletnim.</w:t>
      </w:r>
    </w:p>
    <w:p w14:paraId="73E157B4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lastRenderedPageBreak/>
        <w:t>Osoba odpowiedzialna za bezpieczną rekrutację i weryfikację</w:t>
      </w:r>
    </w:p>
    <w:p w14:paraId="73E157B5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przeprowadza weryfikację osób dopuszczanych do pracy z dziećmi (Rozdział IX, Załącznik nr 1);</w:t>
      </w:r>
    </w:p>
    <w:p w14:paraId="73E157B6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odbiera i przechowuje wymagane oświadczenia.</w:t>
      </w:r>
    </w:p>
    <w:p w14:paraId="73E157B7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Osoba odpowiedzialna za przyjmowanie zgłoszeń i wsparcie małoletniego</w:t>
      </w:r>
    </w:p>
    <w:p w14:paraId="73E157B8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przyjmuje zgłoszenia o zdarzeniach zagrażających małoletniemu (kontakt: admin@laneuron.org, tel. +48 573 033 220);</w:t>
      </w:r>
    </w:p>
    <w:p w14:paraId="73E157B9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organizuje interwencję i wsparcie oraz prowadzi dokumentację (karta i rejestr interwencji);</w:t>
      </w:r>
    </w:p>
    <w:p w14:paraId="73E157BA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składa zawiadomienia do właściwych organów.</w:t>
      </w:r>
    </w:p>
    <w:p w14:paraId="73E157BB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III. Zasady bezpiecznych relacji personel–małoletni</w:t>
      </w:r>
    </w:p>
    <w:p w14:paraId="73E157BC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Zasady ogólne</w:t>
      </w:r>
    </w:p>
    <w:p w14:paraId="73E157BD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Personel traktuje każde dziecko z szacunkiem, uwzględniając jego wiek, potrzeby, godność, podmiotowość i sferę intymną, oraz zapewnia równe traktowanie bez dyskryminacji.</w:t>
      </w:r>
    </w:p>
    <w:p w14:paraId="73E157BE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Personel zapewnia dzieciom nadzór odpowiedni do wieku i rodzaju aktywności i dba o ich bezpieczeństwo przez cały czas trwania zajęć.</w:t>
      </w:r>
    </w:p>
    <w:p w14:paraId="73E157BF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Zasady komunikacji z dziećmi</w:t>
      </w:r>
    </w:p>
    <w:p w14:paraId="73E157C0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słucha dziecka i traktuje je poważnie; odpowiada z szacunkiem;</w:t>
      </w:r>
    </w:p>
    <w:p w14:paraId="73E157C1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używa języka wolnego od ośmieszania, poniżania, straszenia i wulgaryzmów;</w:t>
      </w:r>
    </w:p>
    <w:p w14:paraId="73E157C2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nie krzyczy na dziecko poza sytuacją zagrożenia bezpieczeństwa;</w:t>
      </w:r>
    </w:p>
    <w:p w14:paraId="73E157C3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nie zawstydza, nie upokarza, nie etykietuje i nie faworyzuje dzieci;</w:t>
      </w:r>
    </w:p>
    <w:p w14:paraId="73E157C4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reaguje na potrzeby dziecka oraz na sygnały dyskomfortu.</w:t>
      </w:r>
    </w:p>
    <w:p w14:paraId="73E157C5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Kontakt fizyczny z małoletnim</w:t>
      </w:r>
    </w:p>
    <w:p w14:paraId="73E157C6" w14:textId="77777777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>Kontakt fizyczny jest dopuszczalny wyłącznie wtedy, gdy jest konieczny, adekwatny do sytuacji, jawny i akceptowany przez dziecko. Dopuszczalny jest w szczególności w celu zapewnienia bezpieczeństwa, udzielenia pierwszej pomocy, asekuracji przy zadaniach ruchowych lub pomocy adekwatnej do wieku. Niedopuszczalny jest kontakt fizyczny o charakterze seksualnym lub naruszający sferę intymną, a także jakikolwiek kontakt wykorzystujący przewagę dorosłego.</w:t>
      </w:r>
    </w:p>
    <w:p w14:paraId="73E157C7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Kontakty poza zajęciami</w:t>
      </w:r>
    </w:p>
    <w:p w14:paraId="73E157C8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personel nie nawiązuje z dzieckiem prywatnych, </w:t>
      </w:r>
      <w:proofErr w:type="spellStart"/>
      <w:r w:rsidRPr="00A969D3">
        <w:rPr>
          <w:color w:val="auto"/>
        </w:rPr>
        <w:t>pozawarsztatowych</w:t>
      </w:r>
      <w:proofErr w:type="spellEnd"/>
      <w:r w:rsidRPr="00A969D3">
        <w:rPr>
          <w:color w:val="auto"/>
        </w:rPr>
        <w:t xml:space="preserve"> relacji ani kontaktów, w tym w mediach społecznościowych, i nie utrzymuje z nim sekretów;</w:t>
      </w:r>
    </w:p>
    <w:p w14:paraId="73E157C9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personel nie spotyka się z dzieckiem sam na sam poza zajęciami w celach towarzyskich; ewentualny kontakt wymaga wiedzy i zgody opiekuna oraz uzasadnienia związanego z zajęciami;</w:t>
      </w:r>
    </w:p>
    <w:p w14:paraId="73E157CA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w kontakcie z dziećmi poniżej 15. roku życia personel zachowuje szczególną ostrożność i unika sytuacji odosobnienia.</w:t>
      </w:r>
    </w:p>
    <w:p w14:paraId="73E157CB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Zachowania niedozwolone wobec małoletnich</w:t>
      </w:r>
    </w:p>
    <w:p w14:paraId="73E157CC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przemoc fizyczna, kary cielesne, nieuzasadniony kontakt fizyczny;</w:t>
      </w:r>
    </w:p>
    <w:p w14:paraId="73E157CD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przemoc słowna, poniżanie, ośmieszanie, zawstydzanie, straszenie, dyskryminowanie;</w:t>
      </w:r>
    </w:p>
    <w:p w14:paraId="73E157CE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jakiekolwiek zachowania o charakterze seksualnym lub naruszające sferę intymną;</w:t>
      </w:r>
    </w:p>
    <w:p w14:paraId="73E157CF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nawiązywanie prywatnych relacji, obdarowywanie i faworyzowanie wybranych dzieci, utrzymywanie sekretów;</w:t>
      </w:r>
    </w:p>
    <w:p w14:paraId="73E157D0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izolowanie dziecka lub przebywanie z nim sam na sam w odosobnieniu poza sytuacjami koniecznymi i uzasadnionymi;</w:t>
      </w:r>
    </w:p>
    <w:p w14:paraId="73E157D1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utrwalanie i rozpowszechnianie wizerunku dziecka poza zakresem udzielonych zgód oraz udostępnianie mu treści nieodpowiednich;</w:t>
      </w:r>
    </w:p>
    <w:p w14:paraId="73E157D2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lastRenderedPageBreak/>
        <w:t>spożywanie alkoholu, palenie i używanie substancji psychoaktywnych w obecności dzieci.</w:t>
      </w:r>
    </w:p>
    <w:p w14:paraId="73E157D3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IV. Zasady bezpiecznych relacji między małoletnimi</w:t>
      </w:r>
    </w:p>
    <w:p w14:paraId="73E157D4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Dzieci odnoszą się do siebie z szacunkiem; niedozwolone są przemoc, agresja, zastraszanie, wykluczanie, poniżanie, nękanie (w tym w </w:t>
      </w:r>
      <w:proofErr w:type="spellStart"/>
      <w:r w:rsidRPr="00A969D3">
        <w:rPr>
          <w:color w:val="auto"/>
        </w:rPr>
        <w:t>internecie</w:t>
      </w:r>
      <w:proofErr w:type="spellEnd"/>
      <w:r w:rsidRPr="00A969D3">
        <w:rPr>
          <w:color w:val="auto"/>
        </w:rPr>
        <w:t>) oraz zachowania o charakterze seksualnym.</w:t>
      </w:r>
    </w:p>
    <w:p w14:paraId="73E157D5" w14:textId="1D43B038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Personel reaguje na naruszenia zasad między dziećmi, zapewnia bezpieczeństwo dziecku poszkodowanemu, rozdziela strony konfliktu i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w razie potrzeby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informuje opiekunów.</w:t>
      </w:r>
    </w:p>
    <w:p w14:paraId="73E157D6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W przypadku poważnej lub powtarzającej się przemocy rówieśniczej stosuje się procedurę interwencji (Rozdział VII).</w:t>
      </w:r>
    </w:p>
    <w:p w14:paraId="73E157D7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 xml:space="preserve">Rozdział V. Bezpieczeństwo w kontaktach z urządzeniami i </w:t>
      </w:r>
      <w:proofErr w:type="spellStart"/>
      <w:r w:rsidRPr="00A969D3">
        <w:rPr>
          <w:color w:val="auto"/>
        </w:rPr>
        <w:t>internetem</w:t>
      </w:r>
      <w:proofErr w:type="spellEnd"/>
    </w:p>
    <w:p w14:paraId="73E157D8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Podczas zajęć małoletni korzystają z urządzeń elektronicznych (np. komputerów, robotów edukacyjnych) wyłącznie pod nadzorem prowadzącej i w celach edukacyjnych.</w:t>
      </w:r>
    </w:p>
    <w:p w14:paraId="73E157D9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Dostęp do </w:t>
      </w:r>
      <w:proofErr w:type="spellStart"/>
      <w:r w:rsidRPr="00A969D3">
        <w:rPr>
          <w:color w:val="auto"/>
        </w:rPr>
        <w:t>internetu</w:t>
      </w:r>
      <w:proofErr w:type="spellEnd"/>
      <w:r w:rsidRPr="00A969D3">
        <w:rPr>
          <w:color w:val="auto"/>
        </w:rPr>
        <w:t xml:space="preserve"> jest ograniczony i nadzorowany, aby zapobiec kontaktowi z treściami szkodliwymi, w szczególności: pornograficznymi, prezentującymi przemoc lub okrucieństwo, nawołującymi do nienawiści lub </w:t>
      </w:r>
      <w:proofErr w:type="spellStart"/>
      <w:r w:rsidRPr="00A969D3">
        <w:rPr>
          <w:color w:val="auto"/>
        </w:rPr>
        <w:t>zachowań</w:t>
      </w:r>
      <w:proofErr w:type="spellEnd"/>
      <w:r w:rsidRPr="00A969D3">
        <w:rPr>
          <w:color w:val="auto"/>
        </w:rPr>
        <w:t xml:space="preserve"> autodestrukcyjnych, a także treściami nielegalnymi.</w:t>
      </w:r>
    </w:p>
    <w:p w14:paraId="73E157DA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Zabronione jest utrwalanie i rozpowszechnianie przez uczestników wizerunku innych dzieci oraz udostępnianie treści nieodpowiednich.</w:t>
      </w:r>
    </w:p>
    <w:p w14:paraId="73E157DB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W razie ujawnienia, że dziecko zetknęło się z treściami szkodliwymi lub jest ofiarą cyberprzemocy, stosuje się procedurę interwencji.</w:t>
      </w:r>
    </w:p>
    <w:p w14:paraId="73E157DC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VI. Rozpoznawanie symptomów krzywdzenia</w:t>
      </w:r>
    </w:p>
    <w:p w14:paraId="73E157DD" w14:textId="77777777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>Personel zwraca uwagę na możliwe sygnały krzywdzenia i traktuje je poważnie. Do sygnałów mogą należeć w szczególności:</w:t>
      </w:r>
    </w:p>
    <w:p w14:paraId="73E157DE" w14:textId="57A525D4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symptomy fizyczne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niewyjaśnione urazy, siniaki, oparzenia, zaniedbanie higieniczne;</w:t>
      </w:r>
    </w:p>
    <w:p w14:paraId="73E157DF" w14:textId="743C1A6C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symptomy emocjonalne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lęk, wycofanie, smutek, nadmierna czujność, niska samoocena;</w:t>
      </w:r>
    </w:p>
    <w:p w14:paraId="73E157E0" w14:textId="5178DE6B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symptomy behawioralne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nagła zmiana zachowania, agresja, regres, unikanie określonych osób lub sytuacji, zachowania nieadekwatne do wieku (w tym </w:t>
      </w:r>
      <w:proofErr w:type="spellStart"/>
      <w:r w:rsidRPr="00A969D3">
        <w:rPr>
          <w:color w:val="auto"/>
        </w:rPr>
        <w:t>seksualizacja</w:t>
      </w:r>
      <w:proofErr w:type="spellEnd"/>
      <w:r w:rsidRPr="00A969D3">
        <w:rPr>
          <w:color w:val="auto"/>
        </w:rPr>
        <w:t>).</w:t>
      </w:r>
    </w:p>
    <w:p w14:paraId="73E157E1" w14:textId="0664641E" w:rsidR="005F2BA3" w:rsidRPr="00A969D3" w:rsidRDefault="005843ED">
      <w:pPr>
        <w:spacing w:after="80" w:line="256" w:lineRule="auto"/>
        <w:jc w:val="both"/>
        <w:rPr>
          <w:color w:val="auto"/>
        </w:rPr>
      </w:pPr>
      <w:r w:rsidRPr="00A969D3">
        <w:rPr>
          <w:i/>
          <w:iCs/>
          <w:color w:val="auto"/>
          <w:sz w:val="18"/>
          <w:szCs w:val="18"/>
        </w:rPr>
        <w:t xml:space="preserve">Wystąpienie sygnału nie przesądza o krzywdzeniu; każdorazowo wymaga rozważnej oceny i </w:t>
      </w:r>
      <w:r w:rsidR="00A969D3">
        <w:rPr>
          <w:i/>
          <w:iCs/>
          <w:color w:val="auto"/>
          <w:sz w:val="18"/>
          <w:szCs w:val="18"/>
        </w:rPr>
        <w:t>-</w:t>
      </w:r>
      <w:r w:rsidRPr="00A969D3">
        <w:rPr>
          <w:i/>
          <w:iCs/>
          <w:color w:val="auto"/>
          <w:sz w:val="18"/>
          <w:szCs w:val="18"/>
        </w:rPr>
        <w:t xml:space="preserve"> w razie podejrzenia </w:t>
      </w:r>
      <w:r w:rsidR="00A969D3">
        <w:rPr>
          <w:i/>
          <w:iCs/>
          <w:color w:val="auto"/>
          <w:sz w:val="18"/>
          <w:szCs w:val="18"/>
        </w:rPr>
        <w:t>-</w:t>
      </w:r>
      <w:r w:rsidRPr="00A969D3">
        <w:rPr>
          <w:i/>
          <w:iCs/>
          <w:color w:val="auto"/>
          <w:sz w:val="18"/>
          <w:szCs w:val="18"/>
        </w:rPr>
        <w:t xml:space="preserve"> interwencji.</w:t>
      </w:r>
    </w:p>
    <w:p w14:paraId="73E157E2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VII. Procedury interwencji</w:t>
      </w:r>
    </w:p>
    <w:p w14:paraId="73E157E3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Zasady ogólne</w:t>
      </w:r>
    </w:p>
    <w:p w14:paraId="73E157E4" w14:textId="77777777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>1. Osoba, która poweźmie podejrzenie krzywdzenia małoletniego lub uzyska taką informację, niezwłocznie zapewnia dziecku bezpieczeństwo i wsparcie oraz odsuwa je od źródła zagrożenia.</w:t>
      </w:r>
    </w:p>
    <w:p w14:paraId="73E157E5" w14:textId="77777777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>2. Niezwłocznie powiadamia osobę odpowiedzialną i sporządza kartę interwencji (Załącznik nr 3); zdarzenie odnotowuje się w rejestrze interwencji.</w:t>
      </w:r>
    </w:p>
    <w:p w14:paraId="73E157E6" w14:textId="77777777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>3. W razie zagrożenia życia lub zdrowia dziecka niezwłocznie zawiadamia się Policję lub pogotowie (tel. 112).</w:t>
      </w:r>
    </w:p>
    <w:p w14:paraId="73E157E7" w14:textId="77777777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>4. Informacje o zdarzeniu przetwarza się z poszanowaniem poufności i przepisów o ochronie danych osobowych; dostęp do dokumentacji jest ograniczony.</w:t>
      </w:r>
    </w:p>
    <w:p w14:paraId="73E157E8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Kwalifikacja zdarzenia</w:t>
      </w:r>
    </w:p>
    <w:p w14:paraId="73E157E9" w14:textId="3C7B41E7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 xml:space="preserve">Osoba odpowiedzialna ustala, czy zdarzenie stanowi: (a) podejrzenie popełnienia przestępstwa, (b) inną formę krzywdzenia, (c) zaniedbanie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oraz dobiera dalsze działania odpowiednio do sprawcy.</w:t>
      </w:r>
    </w:p>
    <w:p w14:paraId="73E157EA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Krzywdzenie przez osobę dorosłą spoza personelu i rodziny</w:t>
      </w:r>
    </w:p>
    <w:p w14:paraId="73E157EB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zapewnienie dziecku bezpieczeństwa i wsparcia; powiadomienie opiekunów (o ile nie są podejrzani);</w:t>
      </w:r>
    </w:p>
    <w:p w14:paraId="73E157EC" w14:textId="7EAD6C7C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w razie podejrzenia przestępstwa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zawiadomienie Policji lub prokuratury (art. 304 § 1 k.p.k.).</w:t>
      </w:r>
    </w:p>
    <w:p w14:paraId="73E157ED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Krzywdzenie przez członka personelu</w:t>
      </w:r>
    </w:p>
    <w:p w14:paraId="73E157EE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natychmiastowe odsunięcie tej osoby od kontaktu z dziećmi do czasu wyjaśnienia sprawy;</w:t>
      </w:r>
    </w:p>
    <w:p w14:paraId="73E157EF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lastRenderedPageBreak/>
        <w:t>zapewnienie dziecku bezpieczeństwa i wsparcia; powiadomienie opiekunów;</w:t>
      </w:r>
    </w:p>
    <w:p w14:paraId="73E157F0" w14:textId="39932A6A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w razie podejrzenia przestępstwa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zawiadomienie Policji lub prokuratury.</w:t>
      </w:r>
    </w:p>
    <w:p w14:paraId="73E157F1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Krzywdzenie przez opiekuna lub członka rodziny</w:t>
      </w:r>
    </w:p>
    <w:p w14:paraId="73E157F2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zapewnienie dziecku bezpieczeństwa; w razie potrzeby zawiadomienie sądu opiekuńczego o potrzebie wglądu w sytuację dziecka (art. 572 k.p.c.);</w:t>
      </w:r>
    </w:p>
    <w:p w14:paraId="73E157F3" w14:textId="65B633E5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w razie podejrzenia przemocy domowej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zawiadomienie właściwych organów (Policja, ośrodek pomocy społecznej). La Neuron nie jest podmiotem uprawnionym do wszczynania procedury „Niebieskie Karty”;</w:t>
      </w:r>
    </w:p>
    <w:p w14:paraId="73E157F4" w14:textId="6AF0EFED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w razie podejrzenia przestępstwa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zawiadomienie Policji lub prokuratury.</w:t>
      </w:r>
    </w:p>
    <w:p w14:paraId="73E157F5" w14:textId="77777777" w:rsidR="005F2BA3" w:rsidRPr="00A969D3" w:rsidRDefault="005843ED">
      <w:pPr>
        <w:spacing w:before="180" w:after="70"/>
        <w:rPr>
          <w:color w:val="auto"/>
        </w:rPr>
      </w:pPr>
      <w:r w:rsidRPr="00A969D3">
        <w:rPr>
          <w:b/>
          <w:bCs/>
          <w:color w:val="auto"/>
        </w:rPr>
        <w:t>Krzywdzenie rówieśnicze (przez inne dziecko)</w:t>
      </w:r>
    </w:p>
    <w:p w14:paraId="73E157F6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rozdzielenie i zapewnienie bezpieczeństwa; rozmowa z udziałem opiekunów obu stron; ustalenie planu naprawczego i wsparcia;</w:t>
      </w:r>
    </w:p>
    <w:p w14:paraId="73E157F7" w14:textId="4D846B05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jeżeli czyn sprawcy, który ukończył 13 lat, wyczerpuje znamiona czynu karalnego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zawiadomienie sądu rodzinnego; jeżeli sprawcą jest osoba, która ukończyła 17 lat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zawiadomienie Policji lub prokuratury.</w:t>
      </w:r>
    </w:p>
    <w:p w14:paraId="73E157F8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VIII. Plan wsparcia małoletniego po ujawnieniu krzywdzenia</w:t>
      </w:r>
    </w:p>
    <w:p w14:paraId="73E157F9" w14:textId="77D7AF6E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 xml:space="preserve">Po ujawnieniu krzywdzenia osoba odpowiedzialna ustala plan wsparcia małoletniego, obejmujący działania zapewniające bezpieczeństwo, współpracę z opiekunami (o ile nie są sprawcami) oraz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w razie potrzeby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z właściwymi instytucjami, a także monitorowanie sytuacji dziecka.</w:t>
      </w:r>
    </w:p>
    <w:p w14:paraId="73E157FA" w14:textId="77777777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>La Neuron dysponuje danymi kontaktowymi lokalnych instytucji pomocowych i zapewnia do nich dostęp; są to w szczególności: Policja i sąd rodzinny, ośrodek pomocy społecznej, poradnia psychologiczno-pedagogiczna, centrum interwencji kryzysowej, placówki ochrony zdrowia.</w:t>
      </w:r>
    </w:p>
    <w:p w14:paraId="73E157FB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Telefon zaufania dla dzieci i młodzieży: 116 111.</w:t>
      </w:r>
    </w:p>
    <w:p w14:paraId="73E157FC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Telefon dla rodziców i nauczycieli w sprawie bezpieczeństwa dzieci: 800 100 100.</w:t>
      </w:r>
    </w:p>
    <w:p w14:paraId="73E157FD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IX. Bezpieczna rekrutacja i weryfikacja personelu</w:t>
      </w:r>
    </w:p>
    <w:p w14:paraId="73E157FE" w14:textId="2CA9E9D4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 xml:space="preserve">Przed dopuszczeniem osoby do pracy lub współpracy z małoletnimi La Neuron przeprowadza weryfikację obejmującą: sprawdzenie w Rejestrze Sprawców Przestępstw na Tle Seksualnym, uzyskanie danych z Krajowego Rejestru Karnego oraz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w odniesieniu do osób zamieszkujących za granicą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informacji z rejestrów karnych właściwych państw albo odebranie oświadczenia, a także odebranie oświadczenia o zapoznaniu się ze Standardami. Szczegóły określa Załącznik nr 1.</w:t>
      </w:r>
    </w:p>
    <w:p w14:paraId="73E157FF" w14:textId="77777777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 xml:space="preserve">Ponieważ </w:t>
      </w:r>
      <w:proofErr w:type="spellStart"/>
      <w:r w:rsidRPr="00A969D3">
        <w:rPr>
          <w:color w:val="auto"/>
        </w:rPr>
        <w:t>Priyadarshini</w:t>
      </w:r>
      <w:proofErr w:type="spellEnd"/>
      <w:r w:rsidRPr="00A969D3">
        <w:rPr>
          <w:color w:val="auto"/>
        </w:rPr>
        <w:t xml:space="preserve"> Gouthaman prowadzi zajęcia samodzielnie, dokonuje weryfikacji także wobec siebie.</w:t>
      </w:r>
    </w:p>
    <w:p w14:paraId="73E15800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X. Przygotowanie personelu do stosowania Standardów</w:t>
      </w:r>
    </w:p>
    <w:p w14:paraId="73E15801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Personel zapoznaje się ze Standardami przed rozpoczęciem pracy z dziećmi i potwierdza to pisemnie (Załącznik nr 2).</w:t>
      </w:r>
    </w:p>
    <w:p w14:paraId="73E15802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Personel poszerza wiedzę o rozpoznawaniu symptomów krzywdzenia i zasadach reagowania (m.in. materiały i szkolenia).</w:t>
      </w:r>
    </w:p>
    <w:p w14:paraId="73E15803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Czynności przygotowania personelu są dokumentowane; osobą odpowiedzialną jest </w:t>
      </w:r>
      <w:proofErr w:type="spellStart"/>
      <w:r w:rsidRPr="00A969D3">
        <w:rPr>
          <w:color w:val="auto"/>
        </w:rPr>
        <w:t>Priyadarshini</w:t>
      </w:r>
      <w:proofErr w:type="spellEnd"/>
      <w:r w:rsidRPr="00A969D3">
        <w:rPr>
          <w:color w:val="auto"/>
        </w:rPr>
        <w:t xml:space="preserve"> Gouthaman.</w:t>
      </w:r>
    </w:p>
    <w:p w14:paraId="73E15804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XI. Ochrona wizerunku i danych osobowych małoletnich</w:t>
      </w:r>
    </w:p>
    <w:p w14:paraId="73E15805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Utrwalanie i publikacja wizerunku dziecka odbywa się wyłącznie na podstawie odrębnej, dobrowolnej zgody opiekuna, wskazującej konkretne kanały publikacji; brak zgody nie wpływa na udział dziecka w zajęciach.</w:t>
      </w:r>
    </w:p>
    <w:p w14:paraId="73E15806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Wizerunek nie jest wykorzystywany w sposób naruszający dobra osobiste dziecka; w miarę możliwości publikacje nie umożliwiają bezpośredniej identyfikacji.</w:t>
      </w:r>
    </w:p>
    <w:p w14:paraId="73E15807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lastRenderedPageBreak/>
        <w:t>Dane osobowe małoletnich przetwarzane są zgodnie z odrębną Klauzulą informacyjną RODO oraz odrębną Zgodą na wykorzystanie wizerunku dziecka.</w:t>
      </w:r>
    </w:p>
    <w:p w14:paraId="73E15808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XII. Dokumentowanie i przechowywanie incydentów</w:t>
      </w:r>
    </w:p>
    <w:p w14:paraId="73E15809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Każdy ujawniony lub zgłoszony incydent albo zdarzenie zagrażające dobru małoletniego odnotowuje się w karcie interwencji (Załącznik nr 3) oraz w rejestrze interwencji.</w:t>
      </w:r>
    </w:p>
    <w:p w14:paraId="73E1580A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Dokumentację przechowuje się z poszanowaniem poufności i przepisów o ochronie danych osobowych, z ograniczonym dostępem, przez okres niezbędny do realizacji celów ochrony małoletnich i ewentualnych postępowań.</w:t>
      </w:r>
    </w:p>
    <w:p w14:paraId="73E1580B" w14:textId="77777777" w:rsidR="005F2BA3" w:rsidRPr="00A969D3" w:rsidRDefault="005843ED">
      <w:pPr>
        <w:spacing w:after="80" w:line="256" w:lineRule="auto"/>
        <w:jc w:val="both"/>
        <w:rPr>
          <w:color w:val="auto"/>
        </w:rPr>
      </w:pPr>
      <w:r w:rsidRPr="00A969D3">
        <w:rPr>
          <w:i/>
          <w:iCs/>
          <w:color w:val="auto"/>
          <w:sz w:val="18"/>
          <w:szCs w:val="18"/>
        </w:rPr>
        <w:t>Zdarzenia dotyczące bezpieczeństwa fizycznego (np. urazy, kontakt z odczynnikami) reguluje odrębna Procedura bezpieczeństwa i reagowania na incydenty.</w:t>
      </w:r>
    </w:p>
    <w:p w14:paraId="73E1580C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XIII. Monitoring, przegląd i aktualizacja</w:t>
      </w:r>
    </w:p>
    <w:p w14:paraId="73E1580D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Standardy podlegają przeglądowi i aktualizacji co najmniej raz na 24 miesiące, a także po istotnych zdarzeniach lub zmianach przepisów;</w:t>
      </w:r>
    </w:p>
    <w:p w14:paraId="73E1580E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z przeprowadzonej oceny sporządza się pisemną dokumentację;</w:t>
      </w:r>
    </w:p>
    <w:p w14:paraId="73E1580F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w miarę możliwości w przeglądzie uwzględnia się opinie dzieci i opiekunów.</w:t>
      </w:r>
    </w:p>
    <w:p w14:paraId="73E15810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XIV. Udostępnianie Standardów</w:t>
      </w:r>
    </w:p>
    <w:p w14:paraId="73E15811" w14:textId="78A080C6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Standardy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w wersji pełnej oraz w wersji skróconej, przeznaczonej dla małoletnich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są udostępniane na stronie laneuron.org oraz w widocznym miejscu w miejscu prowadzenia zajęć;</w:t>
      </w:r>
    </w:p>
    <w:p w14:paraId="73E15812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opiekunom i małoletnim zapewnia się możliwość zapoznania się ze Standardami.</w:t>
      </w:r>
    </w:p>
    <w:p w14:paraId="73E15813" w14:textId="77777777" w:rsidR="005F2BA3" w:rsidRPr="00A969D3" w:rsidRDefault="005843ED">
      <w:pPr>
        <w:pStyle w:val="Heading1"/>
        <w:spacing w:before="300" w:after="120"/>
        <w:rPr>
          <w:color w:val="auto"/>
        </w:rPr>
      </w:pPr>
      <w:r w:rsidRPr="00A969D3">
        <w:rPr>
          <w:color w:val="auto"/>
        </w:rPr>
        <w:t>Rozdział XV. Postanowienia końcowe</w:t>
      </w:r>
    </w:p>
    <w:p w14:paraId="73E15814" w14:textId="77777777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>Standardy obowiązują cały personel; ich nieprzestrzeganie może stanowić podstawę zakończenia współpracy.</w:t>
      </w:r>
    </w:p>
    <w:p w14:paraId="73E15815" w14:textId="0AA76B63" w:rsidR="005F2BA3" w:rsidRPr="00A969D3" w:rsidRDefault="005843ED">
      <w:pPr>
        <w:pStyle w:val="ListParagraph"/>
        <w:numPr>
          <w:ilvl w:val="0"/>
          <w:numId w:val="2"/>
        </w:numPr>
        <w:spacing w:after="44" w:line="258" w:lineRule="auto"/>
        <w:rPr>
          <w:color w:val="auto"/>
        </w:rPr>
      </w:pPr>
      <w:r w:rsidRPr="00A969D3">
        <w:rPr>
          <w:color w:val="auto"/>
        </w:rPr>
        <w:t xml:space="preserve">Standardy wchodzą w życie z dniem </w:t>
      </w:r>
      <w:r w:rsidR="006551B8">
        <w:rPr>
          <w:color w:val="auto"/>
        </w:rPr>
        <w:t xml:space="preserve">03.07.2026. </w:t>
      </w:r>
      <w:r w:rsidRPr="00A969D3">
        <w:rPr>
          <w:color w:val="auto"/>
        </w:rPr>
        <w:t xml:space="preserve">Osobą odpowiedzialną za ich stosowanie i aktualizację jest </w:t>
      </w:r>
      <w:proofErr w:type="spellStart"/>
      <w:r w:rsidRPr="00A969D3">
        <w:rPr>
          <w:color w:val="auto"/>
        </w:rPr>
        <w:t>Priyadarshini</w:t>
      </w:r>
      <w:proofErr w:type="spellEnd"/>
      <w:r w:rsidRPr="00A969D3">
        <w:rPr>
          <w:color w:val="auto"/>
        </w:rPr>
        <w:t xml:space="preserve"> Gouthaman.</w:t>
      </w:r>
    </w:p>
    <w:p w14:paraId="73E15816" w14:textId="018B1E1A" w:rsidR="005F2BA3" w:rsidRPr="00A969D3" w:rsidRDefault="005843ED">
      <w:pPr>
        <w:pStyle w:val="Heading1"/>
        <w:pageBreakBefore/>
        <w:spacing w:before="0" w:after="120"/>
        <w:rPr>
          <w:color w:val="auto"/>
        </w:rPr>
      </w:pPr>
      <w:r w:rsidRPr="00A969D3">
        <w:rPr>
          <w:color w:val="auto"/>
        </w:rPr>
        <w:lastRenderedPageBreak/>
        <w:t xml:space="preserve">Załącznik nr 1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Procedura weryfikacji osób dopuszczanych do pracy z małoletnimi</w:t>
      </w:r>
    </w:p>
    <w:p w14:paraId="73E15817" w14:textId="77777777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>Przed dopuszczeniem osoby do pracy lub współpracy z małoletnimi La Neuron:</w:t>
      </w:r>
    </w:p>
    <w:p w14:paraId="73E15818" w14:textId="77777777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>1. sprawdza osobę w Rejestrze Sprawców Przestępstw na Tle Seksualnym (rejestr z dostępem ograniczonym) i dokumentuje wynik sprawdzenia;</w:t>
      </w:r>
    </w:p>
    <w:p w14:paraId="73E15819" w14:textId="77777777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>2. uzyskuje informację z Krajowego Rejestru Karnego o niekaralności za przestępstwa wskazane w ustawie (lub odbiera oświadczenie, jeżeli przepisy na to pozwalają);</w:t>
      </w:r>
    </w:p>
    <w:p w14:paraId="73E1581A" w14:textId="35728689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 xml:space="preserve">3. odbiera oświadczenie o państwach zamieszkania w okresie ostatnich 20 lat; w przypadku zamieszkiwania poza Polską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informację z rejestrów karnych tych państw </w:t>
      </w:r>
      <w:proofErr w:type="gramStart"/>
      <w:r w:rsidRPr="00A969D3">
        <w:rPr>
          <w:color w:val="auto"/>
        </w:rPr>
        <w:t>albo,</w:t>
      </w:r>
      <w:proofErr w:type="gramEnd"/>
      <w:r w:rsidRPr="00A969D3">
        <w:rPr>
          <w:color w:val="auto"/>
        </w:rPr>
        <w:t xml:space="preserve"> gdy jej uzyskanie jest niemożliwe, oświadczenie o niekaralności złożone pod rygorem odpowiedzialności karnej;</w:t>
      </w:r>
    </w:p>
    <w:p w14:paraId="73E1581B" w14:textId="77777777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>4. odbiera oświadczenie o zapoznaniu się ze Standardami i zobowiązaniu do ich stosowania (Załącznik nr 2).</w:t>
      </w:r>
    </w:p>
    <w:p w14:paraId="73E1581C" w14:textId="59E8E610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>Dokumentację weryfikacji przechowuje się z zachowaniem poufności</w:t>
      </w:r>
      <w:r w:rsidR="006551B8">
        <w:rPr>
          <w:color w:val="auto"/>
        </w:rPr>
        <w:t>.</w:t>
      </w:r>
    </w:p>
    <w:p w14:paraId="73E1581D" w14:textId="6821E9BD" w:rsidR="005F2BA3" w:rsidRPr="00A969D3" w:rsidRDefault="005843ED">
      <w:pPr>
        <w:pStyle w:val="Heading1"/>
        <w:pageBreakBefore/>
        <w:spacing w:before="0" w:after="120"/>
        <w:rPr>
          <w:color w:val="auto"/>
        </w:rPr>
      </w:pPr>
      <w:r w:rsidRPr="00A969D3">
        <w:rPr>
          <w:color w:val="auto"/>
        </w:rPr>
        <w:lastRenderedPageBreak/>
        <w:t xml:space="preserve">Załącznik nr 2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Oświadczenie osoby prowadzącej / współpracownika</w:t>
      </w:r>
    </w:p>
    <w:p w14:paraId="73E1581E" w14:textId="77777777" w:rsidR="005F2BA3" w:rsidRPr="00A969D3" w:rsidRDefault="005843ED">
      <w:pPr>
        <w:spacing w:after="100"/>
        <w:rPr>
          <w:color w:val="auto"/>
        </w:rPr>
      </w:pPr>
      <w:r w:rsidRPr="00A969D3">
        <w:rPr>
          <w:b/>
          <w:bCs/>
          <w:color w:val="auto"/>
        </w:rPr>
        <w:t xml:space="preserve">Imię i </w:t>
      </w:r>
      <w:proofErr w:type="gramStart"/>
      <w:r w:rsidRPr="00A969D3">
        <w:rPr>
          <w:b/>
          <w:bCs/>
          <w:color w:val="auto"/>
        </w:rPr>
        <w:t xml:space="preserve">nazwisko:  </w:t>
      </w:r>
      <w:r w:rsidRPr="00A969D3">
        <w:rPr>
          <w:color w:val="auto"/>
        </w:rPr>
        <w:t>…</w:t>
      </w:r>
      <w:proofErr w:type="gramEnd"/>
      <w:r w:rsidRPr="00A969D3">
        <w:rPr>
          <w:color w:val="auto"/>
        </w:rPr>
        <w:t>……………………………………………………………</w:t>
      </w:r>
    </w:p>
    <w:p w14:paraId="73E1581F" w14:textId="77777777" w:rsidR="005F2BA3" w:rsidRPr="00A969D3" w:rsidRDefault="005843ED">
      <w:pPr>
        <w:spacing w:after="70" w:line="264" w:lineRule="auto"/>
        <w:jc w:val="both"/>
        <w:rPr>
          <w:color w:val="auto"/>
        </w:rPr>
      </w:pPr>
      <w:r w:rsidRPr="00A969D3">
        <w:rPr>
          <w:color w:val="auto"/>
        </w:rPr>
        <w:t>Oświadczam, że:</w:t>
      </w:r>
    </w:p>
    <w:p w14:paraId="73E15820" w14:textId="77777777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>1. zapoznałem(-</w:t>
      </w:r>
      <w:proofErr w:type="spellStart"/>
      <w:r w:rsidRPr="00A969D3">
        <w:rPr>
          <w:color w:val="auto"/>
        </w:rPr>
        <w:t>am</w:t>
      </w:r>
      <w:proofErr w:type="spellEnd"/>
      <w:r w:rsidRPr="00A969D3">
        <w:rPr>
          <w:color w:val="auto"/>
        </w:rPr>
        <w:t>) się ze Standardami Ochrony Małoletnich La Neuron i zobowiązuję się do ich stosowania;</w:t>
      </w:r>
    </w:p>
    <w:p w14:paraId="73E15821" w14:textId="77777777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>2. nie byłem(-</w:t>
      </w:r>
      <w:proofErr w:type="spellStart"/>
      <w:r w:rsidRPr="00A969D3">
        <w:rPr>
          <w:color w:val="auto"/>
        </w:rPr>
        <w:t>am</w:t>
      </w:r>
      <w:proofErr w:type="spellEnd"/>
      <w:r w:rsidRPr="00A969D3">
        <w:rPr>
          <w:color w:val="auto"/>
        </w:rPr>
        <w:t>) skazany(-a) za przestępstwa, o których mowa w ustawie z dnia 13 maja 2016 r., i nie figuruję w Rejestrze Sprawców Przestępstw na Tle Seksualnym;</w:t>
      </w:r>
    </w:p>
    <w:p w14:paraId="73E15822" w14:textId="77777777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>3. nie toczy się przeciwko mnie postępowanie karne ani dyscyplinarne w tym zakresie;</w:t>
      </w:r>
    </w:p>
    <w:p w14:paraId="73E15823" w14:textId="77777777" w:rsidR="005F2BA3" w:rsidRPr="00A969D3" w:rsidRDefault="005843ED">
      <w:pPr>
        <w:spacing w:after="56" w:line="262" w:lineRule="auto"/>
        <w:ind w:left="400" w:hanging="400"/>
        <w:jc w:val="both"/>
        <w:rPr>
          <w:color w:val="auto"/>
        </w:rPr>
      </w:pPr>
      <w:r w:rsidRPr="00A969D3">
        <w:rPr>
          <w:color w:val="auto"/>
        </w:rPr>
        <w:t>4. zobowiązuję się niezwłocznie zgłaszać osobie odpowiedzialnej każde podejrzenie krzywdzenia małoletniego.</w:t>
      </w:r>
    </w:p>
    <w:p w14:paraId="73E15824" w14:textId="77777777" w:rsidR="005F2BA3" w:rsidRPr="00A969D3" w:rsidRDefault="005843ED">
      <w:pPr>
        <w:spacing w:before="120" w:after="20"/>
        <w:rPr>
          <w:color w:val="auto"/>
        </w:rPr>
      </w:pPr>
      <w:proofErr w:type="gramStart"/>
      <w:r w:rsidRPr="00A969D3">
        <w:rPr>
          <w:color w:val="auto"/>
        </w:rPr>
        <w:t>Data:  …</w:t>
      </w:r>
      <w:proofErr w:type="gramEnd"/>
      <w:r w:rsidRPr="00A969D3">
        <w:rPr>
          <w:color w:val="auto"/>
        </w:rPr>
        <w:t xml:space="preserve">…………………          </w:t>
      </w:r>
      <w:proofErr w:type="gramStart"/>
      <w:r w:rsidRPr="00A969D3">
        <w:rPr>
          <w:color w:val="auto"/>
        </w:rPr>
        <w:t>Podpis:  …</w:t>
      </w:r>
      <w:proofErr w:type="gramEnd"/>
      <w:r w:rsidRPr="00A969D3">
        <w:rPr>
          <w:color w:val="auto"/>
        </w:rPr>
        <w:t>……………………………………</w:t>
      </w:r>
    </w:p>
    <w:p w14:paraId="73E15825" w14:textId="77777777" w:rsidR="005F2BA3" w:rsidRPr="00A969D3" w:rsidRDefault="005843ED">
      <w:pPr>
        <w:spacing w:after="80" w:line="256" w:lineRule="auto"/>
        <w:jc w:val="both"/>
        <w:rPr>
          <w:color w:val="auto"/>
        </w:rPr>
      </w:pPr>
      <w:r w:rsidRPr="00A969D3">
        <w:rPr>
          <w:i/>
          <w:iCs/>
          <w:color w:val="auto"/>
          <w:sz w:val="18"/>
          <w:szCs w:val="18"/>
        </w:rPr>
        <w:t>Oświadczenie składane pod rygorem odpowiedzialności karnej za złożenie fałszywego oświadczenia.</w:t>
      </w:r>
    </w:p>
    <w:p w14:paraId="73E15826" w14:textId="3BF0C2C1" w:rsidR="005F2BA3" w:rsidRPr="00A969D3" w:rsidRDefault="005843ED">
      <w:pPr>
        <w:pStyle w:val="Heading1"/>
        <w:pageBreakBefore/>
        <w:spacing w:before="0" w:after="120"/>
        <w:rPr>
          <w:color w:val="auto"/>
        </w:rPr>
      </w:pPr>
      <w:r w:rsidRPr="00A969D3">
        <w:rPr>
          <w:color w:val="auto"/>
        </w:rPr>
        <w:lastRenderedPageBreak/>
        <w:t xml:space="preserve">Załącznik nr 3 </w:t>
      </w:r>
      <w:r w:rsidR="00A969D3">
        <w:rPr>
          <w:color w:val="auto"/>
        </w:rPr>
        <w:t>-</w:t>
      </w:r>
      <w:r w:rsidRPr="00A969D3">
        <w:rPr>
          <w:color w:val="auto"/>
        </w:rPr>
        <w:t xml:space="preserve"> Karta interwencji</w:t>
      </w:r>
    </w:p>
    <w:p w14:paraId="73E15827" w14:textId="77777777" w:rsidR="005F2BA3" w:rsidRPr="00A969D3" w:rsidRDefault="005843ED">
      <w:pPr>
        <w:spacing w:after="100"/>
        <w:rPr>
          <w:color w:val="auto"/>
        </w:rPr>
      </w:pPr>
      <w:r w:rsidRPr="00A969D3">
        <w:rPr>
          <w:b/>
          <w:bCs/>
          <w:color w:val="auto"/>
        </w:rPr>
        <w:t xml:space="preserve">Data i miejsce </w:t>
      </w:r>
      <w:proofErr w:type="gramStart"/>
      <w:r w:rsidRPr="00A969D3">
        <w:rPr>
          <w:b/>
          <w:bCs/>
          <w:color w:val="auto"/>
        </w:rPr>
        <w:t xml:space="preserve">zdarzenia:  </w:t>
      </w:r>
      <w:r w:rsidRPr="00A969D3">
        <w:rPr>
          <w:color w:val="auto"/>
        </w:rPr>
        <w:t>…</w:t>
      </w:r>
      <w:proofErr w:type="gramEnd"/>
      <w:r w:rsidRPr="00A969D3">
        <w:rPr>
          <w:color w:val="auto"/>
        </w:rPr>
        <w:t>……………………………………………………………</w:t>
      </w:r>
    </w:p>
    <w:p w14:paraId="73E15828" w14:textId="77777777" w:rsidR="005F2BA3" w:rsidRPr="00A969D3" w:rsidRDefault="005843ED">
      <w:pPr>
        <w:spacing w:after="100"/>
        <w:rPr>
          <w:color w:val="auto"/>
        </w:rPr>
      </w:pPr>
      <w:r w:rsidRPr="00A969D3">
        <w:rPr>
          <w:b/>
          <w:bCs/>
          <w:color w:val="auto"/>
        </w:rPr>
        <w:t>Dane małoletniego (imię i nazwisko, wiek</w:t>
      </w:r>
      <w:proofErr w:type="gramStart"/>
      <w:r w:rsidRPr="00A969D3">
        <w:rPr>
          <w:b/>
          <w:bCs/>
          <w:color w:val="auto"/>
        </w:rPr>
        <w:t xml:space="preserve">):  </w:t>
      </w:r>
      <w:r w:rsidRPr="00A969D3">
        <w:rPr>
          <w:color w:val="auto"/>
        </w:rPr>
        <w:t>…</w:t>
      </w:r>
      <w:proofErr w:type="gramEnd"/>
      <w:r w:rsidRPr="00A969D3">
        <w:rPr>
          <w:color w:val="auto"/>
        </w:rPr>
        <w:t>……………………………………………………………</w:t>
      </w:r>
    </w:p>
    <w:p w14:paraId="73E15829" w14:textId="77777777" w:rsidR="005F2BA3" w:rsidRPr="00A969D3" w:rsidRDefault="005843ED">
      <w:pPr>
        <w:spacing w:after="100"/>
        <w:rPr>
          <w:color w:val="auto"/>
        </w:rPr>
      </w:pPr>
      <w:r w:rsidRPr="00A969D3">
        <w:rPr>
          <w:b/>
          <w:bCs/>
          <w:color w:val="auto"/>
        </w:rPr>
        <w:t xml:space="preserve">Osoba zgłaszająca / źródło </w:t>
      </w:r>
      <w:proofErr w:type="gramStart"/>
      <w:r w:rsidRPr="00A969D3">
        <w:rPr>
          <w:b/>
          <w:bCs/>
          <w:color w:val="auto"/>
        </w:rPr>
        <w:t xml:space="preserve">informacji:  </w:t>
      </w:r>
      <w:r w:rsidRPr="00A969D3">
        <w:rPr>
          <w:color w:val="auto"/>
        </w:rPr>
        <w:t>…</w:t>
      </w:r>
      <w:proofErr w:type="gramEnd"/>
      <w:r w:rsidRPr="00A969D3">
        <w:rPr>
          <w:color w:val="auto"/>
        </w:rPr>
        <w:t>……………………………………………………………</w:t>
      </w:r>
    </w:p>
    <w:p w14:paraId="73E1582A" w14:textId="77777777" w:rsidR="005F2BA3" w:rsidRPr="00A969D3" w:rsidRDefault="005843ED">
      <w:pPr>
        <w:spacing w:after="100"/>
        <w:rPr>
          <w:color w:val="auto"/>
        </w:rPr>
      </w:pPr>
      <w:r w:rsidRPr="00A969D3">
        <w:rPr>
          <w:b/>
          <w:bCs/>
          <w:color w:val="auto"/>
        </w:rPr>
        <w:t xml:space="preserve">Opis zdarzenia lub </w:t>
      </w:r>
      <w:proofErr w:type="gramStart"/>
      <w:r w:rsidRPr="00A969D3">
        <w:rPr>
          <w:b/>
          <w:bCs/>
          <w:color w:val="auto"/>
        </w:rPr>
        <w:t xml:space="preserve">podejrzenia:  </w:t>
      </w:r>
      <w:r w:rsidRPr="00A969D3">
        <w:rPr>
          <w:color w:val="auto"/>
        </w:rPr>
        <w:t>…</w:t>
      </w:r>
      <w:proofErr w:type="gramEnd"/>
      <w:r w:rsidRPr="00A969D3">
        <w:rPr>
          <w:color w:val="auto"/>
        </w:rPr>
        <w:t>……………………………………………………………</w:t>
      </w:r>
    </w:p>
    <w:p w14:paraId="73E1582B" w14:textId="77777777" w:rsidR="005F2BA3" w:rsidRPr="00A969D3" w:rsidRDefault="005F2BA3">
      <w:pPr>
        <w:rPr>
          <w:color w:val="auto"/>
        </w:rPr>
      </w:pPr>
    </w:p>
    <w:p w14:paraId="73E1582C" w14:textId="77777777" w:rsidR="005F2BA3" w:rsidRPr="00A969D3" w:rsidRDefault="005843ED">
      <w:pPr>
        <w:spacing w:after="100"/>
        <w:rPr>
          <w:color w:val="auto"/>
        </w:rPr>
      </w:pPr>
      <w:r w:rsidRPr="00A969D3">
        <w:rPr>
          <w:b/>
          <w:bCs/>
          <w:color w:val="auto"/>
        </w:rPr>
        <w:t>Podjęte działania (zabezpieczenie dziecka, powiadomienia</w:t>
      </w:r>
      <w:proofErr w:type="gramStart"/>
      <w:r w:rsidRPr="00A969D3">
        <w:rPr>
          <w:b/>
          <w:bCs/>
          <w:color w:val="auto"/>
        </w:rPr>
        <w:t xml:space="preserve">):  </w:t>
      </w:r>
      <w:r w:rsidRPr="00A969D3">
        <w:rPr>
          <w:color w:val="auto"/>
        </w:rPr>
        <w:t>…</w:t>
      </w:r>
      <w:proofErr w:type="gramEnd"/>
      <w:r w:rsidRPr="00A969D3">
        <w:rPr>
          <w:color w:val="auto"/>
        </w:rPr>
        <w:t>……………………………………………………………</w:t>
      </w:r>
    </w:p>
    <w:p w14:paraId="73E1582D" w14:textId="77777777" w:rsidR="005F2BA3" w:rsidRPr="00A969D3" w:rsidRDefault="005F2BA3">
      <w:pPr>
        <w:rPr>
          <w:color w:val="auto"/>
        </w:rPr>
      </w:pPr>
    </w:p>
    <w:p w14:paraId="73E1582E" w14:textId="77777777" w:rsidR="005F2BA3" w:rsidRPr="00A969D3" w:rsidRDefault="005843ED">
      <w:pPr>
        <w:spacing w:after="100"/>
        <w:rPr>
          <w:color w:val="auto"/>
        </w:rPr>
      </w:pPr>
      <w:r w:rsidRPr="00A969D3">
        <w:rPr>
          <w:b/>
          <w:bCs/>
          <w:color w:val="auto"/>
        </w:rPr>
        <w:t>Zawiadomione podmioty (Policja, sąd, OPS, opiekunowie</w:t>
      </w:r>
      <w:proofErr w:type="gramStart"/>
      <w:r w:rsidRPr="00A969D3">
        <w:rPr>
          <w:b/>
          <w:bCs/>
          <w:color w:val="auto"/>
        </w:rPr>
        <w:t xml:space="preserve">):  </w:t>
      </w:r>
      <w:r w:rsidRPr="00A969D3">
        <w:rPr>
          <w:color w:val="auto"/>
        </w:rPr>
        <w:t>…</w:t>
      </w:r>
      <w:proofErr w:type="gramEnd"/>
      <w:r w:rsidRPr="00A969D3">
        <w:rPr>
          <w:color w:val="auto"/>
        </w:rPr>
        <w:t>……………………………………………………………</w:t>
      </w:r>
    </w:p>
    <w:p w14:paraId="73E1582F" w14:textId="77777777" w:rsidR="005F2BA3" w:rsidRPr="00A969D3" w:rsidRDefault="005843ED">
      <w:pPr>
        <w:spacing w:after="100"/>
        <w:rPr>
          <w:color w:val="auto"/>
        </w:rPr>
      </w:pPr>
      <w:r w:rsidRPr="00A969D3">
        <w:rPr>
          <w:b/>
          <w:bCs/>
          <w:color w:val="auto"/>
        </w:rPr>
        <w:t xml:space="preserve">Ustalenia dotyczące planu </w:t>
      </w:r>
      <w:proofErr w:type="gramStart"/>
      <w:r w:rsidRPr="00A969D3">
        <w:rPr>
          <w:b/>
          <w:bCs/>
          <w:color w:val="auto"/>
        </w:rPr>
        <w:t xml:space="preserve">wsparcia:  </w:t>
      </w:r>
      <w:r w:rsidRPr="00A969D3">
        <w:rPr>
          <w:color w:val="auto"/>
        </w:rPr>
        <w:t>…</w:t>
      </w:r>
      <w:proofErr w:type="gramEnd"/>
      <w:r w:rsidRPr="00A969D3">
        <w:rPr>
          <w:color w:val="auto"/>
        </w:rPr>
        <w:t>……………………………………………………………</w:t>
      </w:r>
    </w:p>
    <w:p w14:paraId="73E15830" w14:textId="77777777" w:rsidR="005F2BA3" w:rsidRPr="00A969D3" w:rsidRDefault="005F2BA3">
      <w:pPr>
        <w:rPr>
          <w:color w:val="auto"/>
        </w:rPr>
      </w:pPr>
    </w:p>
    <w:p w14:paraId="73E15831" w14:textId="77777777" w:rsidR="005F2BA3" w:rsidRPr="00A969D3" w:rsidRDefault="005843ED">
      <w:pPr>
        <w:spacing w:before="120" w:after="20"/>
        <w:rPr>
          <w:color w:val="auto"/>
        </w:rPr>
      </w:pPr>
      <w:r w:rsidRPr="00A969D3">
        <w:rPr>
          <w:color w:val="auto"/>
        </w:rPr>
        <w:t xml:space="preserve">Data i podpis osoby </w:t>
      </w:r>
      <w:proofErr w:type="gramStart"/>
      <w:r w:rsidRPr="00A969D3">
        <w:rPr>
          <w:color w:val="auto"/>
        </w:rPr>
        <w:t>odpowiedzialnej:  …</w:t>
      </w:r>
      <w:proofErr w:type="gramEnd"/>
      <w:r w:rsidRPr="00A969D3">
        <w:rPr>
          <w:color w:val="auto"/>
        </w:rPr>
        <w:t>……………………………………</w:t>
      </w:r>
    </w:p>
    <w:sectPr w:rsidR="005F2BA3" w:rsidRPr="00A969D3">
      <w:footerReference w:type="default" r:id="rId11"/>
      <w:pgSz w:w="11906" w:h="16838"/>
      <w:pgMar w:top="1250" w:right="1250" w:bottom="1250" w:left="12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9537BC" w14:textId="77777777" w:rsidR="00745FB5" w:rsidRDefault="00745FB5">
      <w:r>
        <w:separator/>
      </w:r>
    </w:p>
  </w:endnote>
  <w:endnote w:type="continuationSeparator" w:id="0">
    <w:p w14:paraId="4175D1DB" w14:textId="77777777" w:rsidR="00745FB5" w:rsidRDefault="00745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E15832" w14:textId="1C0E52D8" w:rsidR="005F2BA3" w:rsidRDefault="005843ED">
    <w:pPr>
      <w:pBdr>
        <w:top w:val="single" w:sz="4" w:space="6" w:color="BFBFBF"/>
      </w:pBdr>
      <w:tabs>
        <w:tab w:val="right" w:pos="9406"/>
      </w:tabs>
    </w:pPr>
    <w:r>
      <w:rPr>
        <w:color w:val="565656"/>
        <w:sz w:val="14"/>
        <w:szCs w:val="14"/>
      </w:rPr>
      <w:t>Standardy Ochrony Małoletnich — La Neuron</w:t>
    </w:r>
    <w:r>
      <w:rPr>
        <w:sz w:val="14"/>
        <w:szCs w:val="14"/>
      </w:rPr>
      <w:tab/>
    </w:r>
    <w:r>
      <w:rPr>
        <w:color w:val="565656"/>
        <w:sz w:val="14"/>
        <w:szCs w:val="14"/>
      </w:rPr>
      <w:fldChar w:fldCharType="begin"/>
    </w:r>
    <w:r>
      <w:rPr>
        <w:color w:val="565656"/>
        <w:sz w:val="14"/>
        <w:szCs w:val="14"/>
      </w:rPr>
      <w:instrText>PAGE</w:instrText>
    </w:r>
    <w:r>
      <w:rPr>
        <w:color w:val="565656"/>
        <w:sz w:val="14"/>
        <w:szCs w:val="14"/>
      </w:rPr>
      <w:fldChar w:fldCharType="separate"/>
    </w:r>
    <w:r w:rsidR="00A969D3">
      <w:rPr>
        <w:noProof/>
        <w:color w:val="565656"/>
        <w:sz w:val="14"/>
        <w:szCs w:val="14"/>
      </w:rPr>
      <w:t>1</w:t>
    </w:r>
    <w:r>
      <w:rPr>
        <w:color w:val="565656"/>
        <w:sz w:val="14"/>
        <w:szCs w:val="14"/>
      </w:rPr>
      <w:fldChar w:fldCharType="end"/>
    </w:r>
    <w:r>
      <w:rPr>
        <w:color w:val="565656"/>
        <w:sz w:val="14"/>
        <w:szCs w:val="14"/>
      </w:rPr>
      <w:t xml:space="preserve"> / </w:t>
    </w:r>
    <w:r>
      <w:rPr>
        <w:color w:val="565656"/>
        <w:sz w:val="14"/>
        <w:szCs w:val="14"/>
      </w:rPr>
      <w:fldChar w:fldCharType="begin"/>
    </w:r>
    <w:r>
      <w:rPr>
        <w:color w:val="565656"/>
        <w:sz w:val="14"/>
        <w:szCs w:val="14"/>
      </w:rPr>
      <w:instrText>NUMPAGES</w:instrText>
    </w:r>
    <w:r>
      <w:rPr>
        <w:color w:val="565656"/>
        <w:sz w:val="14"/>
        <w:szCs w:val="14"/>
      </w:rPr>
      <w:fldChar w:fldCharType="separate"/>
    </w:r>
    <w:r w:rsidR="00A969D3">
      <w:rPr>
        <w:noProof/>
        <w:color w:val="565656"/>
        <w:sz w:val="14"/>
        <w:szCs w:val="14"/>
      </w:rPr>
      <w:t>2</w:t>
    </w:r>
    <w:r>
      <w:rPr>
        <w:color w:val="56565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4BC7A1" w14:textId="77777777" w:rsidR="00745FB5" w:rsidRDefault="00745FB5">
      <w:r>
        <w:separator/>
      </w:r>
    </w:p>
  </w:footnote>
  <w:footnote w:type="continuationSeparator" w:id="0">
    <w:p w14:paraId="14886455" w14:textId="77777777" w:rsidR="00745FB5" w:rsidRDefault="00745F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EA2003"/>
    <w:multiLevelType w:val="hybridMultilevel"/>
    <w:tmpl w:val="B74EC4C2"/>
    <w:lvl w:ilvl="0" w:tplc="C414E9EE">
      <w:start w:val="1"/>
      <w:numFmt w:val="bullet"/>
      <w:lvlText w:val="●"/>
      <w:lvlJc w:val="left"/>
      <w:pPr>
        <w:ind w:left="720" w:hanging="360"/>
      </w:pPr>
    </w:lvl>
    <w:lvl w:ilvl="1" w:tplc="E842CE86">
      <w:start w:val="1"/>
      <w:numFmt w:val="bullet"/>
      <w:lvlText w:val="○"/>
      <w:lvlJc w:val="left"/>
      <w:pPr>
        <w:ind w:left="1440" w:hanging="360"/>
      </w:pPr>
    </w:lvl>
    <w:lvl w:ilvl="2" w:tplc="84820B42">
      <w:start w:val="1"/>
      <w:numFmt w:val="bullet"/>
      <w:lvlText w:val="■"/>
      <w:lvlJc w:val="left"/>
      <w:pPr>
        <w:ind w:left="2160" w:hanging="360"/>
      </w:pPr>
    </w:lvl>
    <w:lvl w:ilvl="3" w:tplc="65000B16">
      <w:start w:val="1"/>
      <w:numFmt w:val="bullet"/>
      <w:lvlText w:val="●"/>
      <w:lvlJc w:val="left"/>
      <w:pPr>
        <w:ind w:left="2880" w:hanging="360"/>
      </w:pPr>
    </w:lvl>
    <w:lvl w:ilvl="4" w:tplc="9A78956C">
      <w:start w:val="1"/>
      <w:numFmt w:val="bullet"/>
      <w:lvlText w:val="○"/>
      <w:lvlJc w:val="left"/>
      <w:pPr>
        <w:ind w:left="3600" w:hanging="360"/>
      </w:pPr>
    </w:lvl>
    <w:lvl w:ilvl="5" w:tplc="FB1054DC">
      <w:start w:val="1"/>
      <w:numFmt w:val="bullet"/>
      <w:lvlText w:val="■"/>
      <w:lvlJc w:val="left"/>
      <w:pPr>
        <w:ind w:left="4320" w:hanging="360"/>
      </w:pPr>
    </w:lvl>
    <w:lvl w:ilvl="6" w:tplc="E4EE234A">
      <w:start w:val="1"/>
      <w:numFmt w:val="bullet"/>
      <w:lvlText w:val="●"/>
      <w:lvlJc w:val="left"/>
      <w:pPr>
        <w:ind w:left="5040" w:hanging="360"/>
      </w:pPr>
    </w:lvl>
    <w:lvl w:ilvl="7" w:tplc="2D243018">
      <w:start w:val="1"/>
      <w:numFmt w:val="bullet"/>
      <w:lvlText w:val="●"/>
      <w:lvlJc w:val="left"/>
      <w:pPr>
        <w:ind w:left="5760" w:hanging="360"/>
      </w:pPr>
    </w:lvl>
    <w:lvl w:ilvl="8" w:tplc="4FD4E3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4904F1"/>
    <w:multiLevelType w:val="hybridMultilevel"/>
    <w:tmpl w:val="6F7A2EC0"/>
    <w:lvl w:ilvl="0" w:tplc="DE04B900">
      <w:start w:val="1"/>
      <w:numFmt w:val="bullet"/>
      <w:lvlText w:val="–"/>
      <w:lvlJc w:val="left"/>
      <w:pPr>
        <w:ind w:left="420" w:hanging="220"/>
      </w:pPr>
    </w:lvl>
    <w:lvl w:ilvl="1" w:tplc="EB24443A">
      <w:numFmt w:val="decimal"/>
      <w:lvlText w:val=""/>
      <w:lvlJc w:val="left"/>
    </w:lvl>
    <w:lvl w:ilvl="2" w:tplc="DD22E5BA">
      <w:numFmt w:val="decimal"/>
      <w:lvlText w:val=""/>
      <w:lvlJc w:val="left"/>
    </w:lvl>
    <w:lvl w:ilvl="3" w:tplc="A85EB77C">
      <w:numFmt w:val="decimal"/>
      <w:lvlText w:val=""/>
      <w:lvlJc w:val="left"/>
    </w:lvl>
    <w:lvl w:ilvl="4" w:tplc="AA98F9AC">
      <w:numFmt w:val="decimal"/>
      <w:lvlText w:val=""/>
      <w:lvlJc w:val="left"/>
    </w:lvl>
    <w:lvl w:ilvl="5" w:tplc="FBEC4C4C">
      <w:numFmt w:val="decimal"/>
      <w:lvlText w:val=""/>
      <w:lvlJc w:val="left"/>
    </w:lvl>
    <w:lvl w:ilvl="6" w:tplc="6B24C8B2">
      <w:numFmt w:val="decimal"/>
      <w:lvlText w:val=""/>
      <w:lvlJc w:val="left"/>
    </w:lvl>
    <w:lvl w:ilvl="7" w:tplc="1222208C">
      <w:numFmt w:val="decimal"/>
      <w:lvlText w:val=""/>
      <w:lvlJc w:val="left"/>
    </w:lvl>
    <w:lvl w:ilvl="8" w:tplc="F1307CF0">
      <w:numFmt w:val="decimal"/>
      <w:lvlText w:val=""/>
      <w:lvlJc w:val="left"/>
    </w:lvl>
  </w:abstractNum>
  <w:num w:numId="1" w16cid:durableId="659382364">
    <w:abstractNumId w:val="0"/>
    <w:lvlOverride w:ilvl="0">
      <w:startOverride w:val="1"/>
    </w:lvlOverride>
  </w:num>
  <w:num w:numId="2" w16cid:durableId="2690958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BA3"/>
    <w:rsid w:val="004200F2"/>
    <w:rsid w:val="005843ED"/>
    <w:rsid w:val="005F2BA3"/>
    <w:rsid w:val="006551B8"/>
    <w:rsid w:val="00745FB5"/>
    <w:rsid w:val="00A969D3"/>
    <w:rsid w:val="00B90E24"/>
    <w:rsid w:val="00F539E9"/>
    <w:rsid w:val="00FC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E1579C"/>
  <w15:docId w15:val="{845C66E7-4D5E-4183-860F-DACFCFE2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50"/>
      <w:outlineLvl w:val="0"/>
    </w:pPr>
    <w:rPr>
      <w:b/>
      <w:bCs/>
      <w:sz w:val="23"/>
      <w:szCs w:val="23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027105-8ea2-42c2-a209-a1e094f3e975">
      <Terms xmlns="http://schemas.microsoft.com/office/infopath/2007/PartnerControls"/>
    </lcf76f155ced4ddcb4097134ff3c332f>
    <TaxCatchAll xmlns="8b685c02-ccc9-4c9d-a031-20a05330883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AC491F567DEE4C909F6A7A1C49D6B1" ma:contentTypeVersion="18" ma:contentTypeDescription="Utwórz nowy dokument." ma:contentTypeScope="" ma:versionID="1a665ca2863809583a738d68743a53b9">
  <xsd:schema xmlns:xsd="http://www.w3.org/2001/XMLSchema" xmlns:xs="http://www.w3.org/2001/XMLSchema" xmlns:p="http://schemas.microsoft.com/office/2006/metadata/properties" xmlns:ns2="2e027105-8ea2-42c2-a209-a1e094f3e975" xmlns:ns3="8b685c02-ccc9-4c9d-a031-20a05330883a" targetNamespace="http://schemas.microsoft.com/office/2006/metadata/properties" ma:root="true" ma:fieldsID="0c187a156ee9146aa854237394e4237b" ns2:_="" ns3:_="">
    <xsd:import namespace="2e027105-8ea2-42c2-a209-a1e094f3e975"/>
    <xsd:import namespace="8b685c02-ccc9-4c9d-a031-20a053308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027105-8ea2-42c2-a209-a1e094f3e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e4ff796a-4fc1-4243-b8fe-4390df6aa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85c02-ccc9-4c9d-a031-20a053308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a9e157e-0a03-40a5-aace-18d5fab8e57e}" ma:internalName="TaxCatchAll" ma:showField="CatchAllData" ma:web="8b685c02-ccc9-4c9d-a031-20a053308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893134-5885-4D7A-9757-3A759C6A6DA7}">
  <ds:schemaRefs>
    <ds:schemaRef ds:uri="http://schemas.microsoft.com/office/2006/metadata/properties"/>
    <ds:schemaRef ds:uri="http://schemas.microsoft.com/office/infopath/2007/PartnerControls"/>
    <ds:schemaRef ds:uri="2e027105-8ea2-42c2-a209-a1e094f3e975"/>
    <ds:schemaRef ds:uri="8b685c02-ccc9-4c9d-a031-20a05330883a"/>
  </ds:schemaRefs>
</ds:datastoreItem>
</file>

<file path=customXml/itemProps2.xml><?xml version="1.0" encoding="utf-8"?>
<ds:datastoreItem xmlns:ds="http://schemas.openxmlformats.org/officeDocument/2006/customXml" ds:itemID="{A6619AF7-8E34-41FA-9EC0-8CAF2491ED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8231FB-61D2-4017-B1F8-24DB44115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027105-8ea2-42c2-a209-a1e094f3e975"/>
    <ds:schemaRef ds:uri="8b685c02-ccc9-4c9d-a031-20a053308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2399</Words>
  <Characters>13680</Characters>
  <Application>Microsoft Office Word</Application>
  <DocSecurity>0</DocSecurity>
  <Lines>114</Lines>
  <Paragraphs>32</Paragraphs>
  <ScaleCrop>false</ScaleCrop>
  <Company/>
  <LinksUpToDate>false</LinksUpToDate>
  <CharactersWithSpaces>16047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Gouthaman G</cp:lastModifiedBy>
  <cp:revision>4</cp:revision>
  <dcterms:created xsi:type="dcterms:W3CDTF">2026-07-03T14:11:00Z</dcterms:created>
  <dcterms:modified xsi:type="dcterms:W3CDTF">2026-07-18T14:39:00Z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0x01010018AC491F567DEE4C909F6A7A1C49D6B1</vt:lpwstr>
  </property>
  <property fmtid="{D5CDD505-2E9C-101B-9397-08002B2CF9AE}" pid="3" name="MediaServiceImageTags">
    <vt:lpwstr/>
  </property>
</Properties>
</file>