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A8179E" w:rsidRPr="00A8179E" w:rsidTr="00A8179E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shd w:val="clear" w:color="auto" w:fill="FFFFFF"/>
            <w:vAlign w:val="center"/>
            <w:hideMark/>
          </w:tcPr>
          <w:tbl>
            <w:tblPr>
              <w:tblW w:w="90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A8179E" w:rsidRPr="00A8179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8"/>
                    <w:gridCol w:w="5652"/>
                    <w:gridCol w:w="1240"/>
                  </w:tblGrid>
                  <w:tr w:rsidR="00A8179E" w:rsidRPr="00A8179E">
                    <w:trPr>
                      <w:tblCellSpacing w:w="0" w:type="dxa"/>
                      <w:jc w:val="center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b/>
                            <w:bCs/>
                            <w:color w:val="000000"/>
                            <w:kern w:val="0"/>
                            <w:sz w:val="60"/>
                            <w:szCs w:val="60"/>
                          </w:rPr>
                          <w:t>张晓燕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女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未婚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1988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月生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户口：江苏南京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现居住于江苏南京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-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玄武区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本科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年工作经验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团员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南京林业大学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210000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18651698474(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E-mail: </w:t>
                        </w:r>
                        <w:hyperlink r:id="rId5" w:tgtFrame="_blank" w:history="1">
                          <w:r w:rsidRPr="00A8179E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zhang849555465@sina.cn</w:t>
                          </w:r>
                        </w:hyperlink>
                      </w:p>
                    </w:tc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color w:val="2A586F"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66750" cy="857250"/>
                              <wp:effectExtent l="0" t="0" r="0" b="0"/>
                              <wp:docPr id="1" name="图片 1" descr="http://my.zhaopin.com/pic/2013/7/9/7390b442-47cf-4218-aafd-a24e6462afde.jpg">
                                <a:hlinkClick xmlns:a="http://schemas.openxmlformats.org/drawingml/2006/main" r:id="rId6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my.zhaopin.com/pic/2013/7/9/7390b442-47cf-4218-aafd-a24e6462afde.jpg">
                                        <a:hlinkClick r:id="rId6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8179E" w:rsidRPr="00A8179E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8179E" w:rsidRPr="00A8179E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D6D3CE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6"/>
                  </w:tblGrid>
                  <w:tr w:rsidR="00A8179E" w:rsidRPr="00A8179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shd w:val="clear" w:color="auto" w:fill="F6F7F8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A8179E" w:rsidRPr="00A8179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tcBorders>
                              <w:shd w:val="clear" w:color="auto" w:fill="F6F7F8"/>
                              <w:vAlign w:val="center"/>
                              <w:hideMark/>
                            </w:tcPr>
                            <w:p w:rsidR="00A8179E" w:rsidRPr="00A8179E" w:rsidRDefault="00A8179E" w:rsidP="00A8179E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color w:val="8866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  <w:gridCol w:w="7440"/>
                        </w:tblGrid>
                        <w:tr w:rsidR="00A8179E" w:rsidRPr="00A8179E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8179E" w:rsidRPr="00A8179E" w:rsidRDefault="00A8179E" w:rsidP="00A8179E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本人性格开朗，做事认真、沉稳、果断。待人真诚、善于学习、乐于探索；＼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善于协助领导做好企业部门统筹与管理工作；＼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擅长公共关系的处理、维护与拓展；＼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注重不同商务活动场所的商务礼仪；＼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有良好的英语听、说、读、写能力。＼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专业上熟练运用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office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各种办公软件；＼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熟练掌握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C/C++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编程、常用数据结构及算法；熟悉运用数据分析模型与工具；＼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熟悉房地产项目投资分析方式方法。</w:t>
                              </w:r>
                            </w:p>
                            <w:p w:rsidR="00A8179E" w:rsidRPr="00A8179E" w:rsidRDefault="00A8179E" w:rsidP="00A8179E">
                              <w:pPr>
                                <w:widowControl/>
                                <w:spacing w:after="240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dotted" w:sz="6" w:space="0" w:color="000000"/>
                                </w:tblBorders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</w:tblGrid>
                              <w:tr w:rsidR="00A8179E" w:rsidRPr="00A8179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A8179E" w:rsidRPr="00A8179E" w:rsidRDefault="00A8179E" w:rsidP="00A8179E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8179E" w:rsidRPr="00A8179E" w:rsidRDefault="00A8179E" w:rsidP="00A8179E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8179E" w:rsidRPr="00A8179E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8179E" w:rsidRPr="00A8179E" w:rsidRDefault="00A8179E" w:rsidP="00A8179E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8179E" w:rsidRPr="00A8179E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A8179E" w:rsidRPr="00A8179E" w:rsidRDefault="00A8179E" w:rsidP="00A8179E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期望从事职业：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8179E" w:rsidRPr="00A8179E" w:rsidRDefault="00A8179E" w:rsidP="00A8179E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房地产项目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开发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策划主管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专员，房地产评估，项目经理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主管，总裁助理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总经理助理</w:t>
                              </w:r>
                            </w:p>
                          </w:tc>
                        </w:tr>
                        <w:tr w:rsidR="00A8179E" w:rsidRPr="00A8179E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A8179E" w:rsidRPr="00A8179E" w:rsidRDefault="00A8179E" w:rsidP="00A8179E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期望月薪：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8179E" w:rsidRPr="00A8179E" w:rsidRDefault="00A8179E" w:rsidP="00A8179E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面议</w:t>
                              </w:r>
                            </w:p>
                          </w:tc>
                        </w:tr>
                        <w:tr w:rsidR="00A8179E" w:rsidRPr="00A8179E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A8179E" w:rsidRPr="00A8179E" w:rsidRDefault="00A8179E" w:rsidP="00A8179E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目前状况：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8179E" w:rsidRPr="00A8179E" w:rsidRDefault="00A8179E" w:rsidP="00A8179E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179E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我目前处于离职状态，可立即上岗</w:t>
                              </w:r>
                            </w:p>
                          </w:tc>
                        </w:tr>
                      </w:tbl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8179E" w:rsidRPr="00A8179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A8179E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7"/>
                    <w:gridCol w:w="6993"/>
                  </w:tblGrid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 xml:space="preserve">2012/04 --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至今：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江苏华软科技股份有限公司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医药事业部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总经理助理兼情报信息分析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CIO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IT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服务（系统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数据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维护）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多领域经营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股份制企业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:500-999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6001-8000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担任职位：＼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n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＼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n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总经理助理兼情报信息分析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CIO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。目前，最主要的成果是鼓楼医院新大楼的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SPD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服务模式，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SPD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模式目前已被卫生部认可，并称之为可复制的白下区模式。＼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n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＼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n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工作内容：＼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n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＼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n</w:t>
                        </w:r>
                        <w:r w:rsidRPr="00A817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①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策划、建立情报小组，统筹情报小组整个工作流程。＼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n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＼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n</w:t>
                        </w:r>
                        <w:r w:rsidRPr="00A817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②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撰写分析报告，定期向公司管理决策层汇报，作为公司重要战略性决策的辅助情报。＼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n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＼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n</w:t>
                        </w:r>
                        <w:r w:rsidRPr="00A817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③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全程负责《鼓楼医院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SPD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项目建设方案》及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SPD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项目内部标准作业流程的设计、管理、执行与监督。＼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n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＼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n</w:t>
                        </w:r>
                        <w:r w:rsidRPr="00A817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④</w:t>
                        </w:r>
                        <w:r w:rsidRPr="00A8179E">
                          <w:rPr>
                            <w:rFonts w:ascii="Verdana" w:eastAsia="宋体" w:hAnsi="Verdana" w:cs="Verdana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负责公司内部核心期刊《华软医药资讯》的设计、管理、执行与监督。</w:t>
                        </w:r>
                      </w:p>
                    </w:tc>
                  </w:tr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汇报对象：部门经理</w:t>
                        </w:r>
                      </w:p>
                    </w:tc>
                  </w:tr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①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公司情报小组，带给公司更多市场与竞争对手重要资讯，数据的整理、分析、挖掘，更大程度降低公司项目运营风险率，提高项目收益率。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②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《鼓楼医院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SPD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项目建设方案》得到南药及鼓楼医院高层领导的高度肯定。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③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《华软医药资讯》曾为南药作为员工辅导教材。</w:t>
                        </w:r>
                      </w:p>
                    </w:tc>
                  </w:tr>
                  <w:tr w:rsidR="00A8179E" w:rsidRPr="00A8179E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2011/07 -- 2012/04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江苏</w:t>
                        </w:r>
                        <w:proofErr w:type="gramStart"/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睿辰欣创</w:t>
                        </w:r>
                        <w:proofErr w:type="gramEnd"/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研发部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高级软件工程师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计算机软件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股份制企业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:500-999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4001-6000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担任职位：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高级软件工程师。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工作内容：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①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负责运用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C/C++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语言设计军事化模拟仿真系统。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②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负责国家军队装甲器材数字化学习平台的系统建设。</w:t>
                        </w:r>
                      </w:p>
                    </w:tc>
                  </w:tr>
                  <w:tr w:rsidR="00A8179E" w:rsidRPr="00A8179E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8179E" w:rsidRPr="00A8179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A8179E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项目经验</w:t>
                        </w:r>
                      </w:p>
                    </w:tc>
                  </w:tr>
                </w:tbl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2013/01 --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至今：鼓楼医院药品第三</w:t>
                        </w:r>
                        <w:proofErr w:type="gramStart"/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方服务</w:t>
                        </w:r>
                        <w:proofErr w:type="gramEnd"/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模式建设</w:t>
                        </w:r>
                      </w:p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</w:t>
                        </w:r>
                        <w:r w:rsidRPr="00A817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①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负责《鼓楼医院药品第三方服务模式建设方案》的拟定。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②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建立鼓楼医院药品第三</w:t>
                        </w:r>
                        <w:proofErr w:type="gramStart"/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方服务</w:t>
                        </w:r>
                        <w:proofErr w:type="gramEnd"/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模式所有运营标准流程的制定大纲与模板，分配相应工作人员完成标准流程的制定。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③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负责鼓楼医院药品第三</w:t>
                        </w:r>
                        <w:proofErr w:type="gramStart"/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方服务</w:t>
                        </w:r>
                        <w:proofErr w:type="gramEnd"/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模式的运营、管理、监督工作。</w:t>
                        </w:r>
                      </w:p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项目描述：鼓楼医院药品第三</w:t>
                        </w:r>
                        <w:proofErr w:type="gramStart"/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方服务</w:t>
                        </w:r>
                        <w:proofErr w:type="gramEnd"/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模式，即引入第三方服务（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SPD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服务团队），对院内药品等消耗性物品进行采购、调剂、在库管理等方面的管理及流程优化，利用计算机信息管理系统，从采购开始对库存管理、出库、使用、消耗、消毒、灭菌、补充等一系列的物品的流动（物流）、商务的流动（商流）以及信息的流动（信息流）进行系统化的管理。</w:t>
                        </w:r>
                      </w:p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A8179E" w:rsidRPr="00A8179E" w:rsidRDefault="00A8179E" w:rsidP="00A8179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2012/08 --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至今：竞争情报系统架构建设</w:t>
                        </w:r>
                      </w:p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责任描述：（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）策划、成立竞争情报组织；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（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）负责公司情报组织工作流程的实施、管理、监测；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（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）全面制定各方情报人员所要收集的情报内容大纲；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（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4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）运用各方信息资源协助企业管理决策层制定企业发展的战略规划，并参与讨论企业发展的全局性问题；</w:t>
                        </w:r>
                      </w:p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>项目描述：根据信息源了解行业市场及竞争对手最新动态，根据情报需求详细制定情报信息收集大纲。分派各方情报人员做市场调研工作。根据调研数据建立情报信息数据库，组织情报小组做大量数据分析工作，最终完成情报信息分析报告。</w:t>
                        </w:r>
                      </w:p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A8179E" w:rsidRPr="00A8179E" w:rsidRDefault="00A8179E" w:rsidP="00A8179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2011/08 -- 2011/11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TCP/IP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网络聊天程序系统设计</w:t>
                        </w:r>
                      </w:p>
                      <w:p w:rsidR="00A8179E" w:rsidRPr="00A8179E" w:rsidRDefault="00A8179E" w:rsidP="00A8179E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软件环境：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LINUX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开发工具：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QT</w:t>
                        </w:r>
                      </w:p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责任描述：</w:t>
                        </w:r>
                        <w:r w:rsidRPr="00A817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①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负责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TCP/IP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网络聊天程序系统需求的撰写。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②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负责运用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C/C++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语言编辑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TCP/IP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网络聊天程序系统。</w:t>
                        </w:r>
                      </w:p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项目描述：项目过程：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①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服务器</w:t>
                        </w:r>
                        <w:proofErr w:type="gramStart"/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端创建</w:t>
                        </w:r>
                        <w:proofErr w:type="gramEnd"/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socket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，绑定、监听、处理信息，并返回新的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socket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文件描述符。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②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接收客户端连接，创建线程接收客户端数据并广播。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  <w:t>③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运用两个线程设计客户端。</w:t>
                        </w:r>
                      </w:p>
                    </w:tc>
                  </w:tr>
                </w:tbl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8179E" w:rsidRPr="00A8179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A8179E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2008/09 -- 2012/06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：南京林业大学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环境工程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</w:tbl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8179E" w:rsidRPr="00A8179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A8179E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培训经历</w:t>
                        </w:r>
                      </w:p>
                    </w:tc>
                  </w:tr>
                </w:tbl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8400" w:type="dxa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2011/04 -- 2011/08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：南京达内科技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培训课程：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C/C++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所获证书：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C++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高级软件工程师证书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培训地点：南京达内科技</w:t>
                        </w:r>
                      </w:p>
                    </w:tc>
                  </w:tr>
                </w:tbl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8179E" w:rsidRPr="00A8179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A8179E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证书</w:t>
                        </w:r>
                      </w:p>
                    </w:tc>
                  </w:tr>
                </w:tbl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9"/>
                    <w:gridCol w:w="7751"/>
                  </w:tblGrid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2011/08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高级程序员</w:t>
                        </w:r>
                      </w:p>
                    </w:tc>
                  </w:tr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8179E" w:rsidRPr="00A8179E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2010/06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大学英语六级</w:t>
                        </w:r>
                      </w:p>
                    </w:tc>
                  </w:tr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8179E" w:rsidRPr="00A8179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A8179E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英语：读写能力熟练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听说能力熟练</w:t>
                        </w:r>
                      </w:p>
                    </w:tc>
                  </w:tr>
                </w:tbl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8179E" w:rsidRPr="00A8179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A8179E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专业技能</w:t>
                        </w:r>
                      </w:p>
                    </w:tc>
                  </w:tr>
                </w:tbl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A8179E" w:rsidRPr="00A8179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8179E" w:rsidRPr="00A8179E" w:rsidRDefault="00A8179E" w:rsidP="00A8179E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情报分析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熟练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8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C/C++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高级软件工程师证书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熟练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7</w:t>
                        </w:r>
                        <w:r w:rsidRPr="00A8179E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个月</w:t>
                        </w:r>
                      </w:p>
                    </w:tc>
                  </w:tr>
                </w:tbl>
                <w:p w:rsidR="00A8179E" w:rsidRPr="00A8179E" w:rsidRDefault="00A8179E" w:rsidP="00A8179E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8179E" w:rsidRPr="00A8179E" w:rsidRDefault="00A8179E" w:rsidP="00A8179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B97738" w:rsidRPr="00A8179E" w:rsidRDefault="00B97738">
      <w:pPr>
        <w:rPr>
          <w:rFonts w:hint="eastAsia"/>
        </w:rPr>
      </w:pPr>
      <w:bookmarkStart w:id="0" w:name="_GoBack"/>
      <w:bookmarkEnd w:id="0"/>
    </w:p>
    <w:sectPr w:rsidR="00B97738" w:rsidRPr="00A8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C1C"/>
    <w:rsid w:val="00A8179E"/>
    <w:rsid w:val="00B97738"/>
    <w:rsid w:val="00C4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8179E"/>
  </w:style>
  <w:style w:type="character" w:styleId="a3">
    <w:name w:val="Hyperlink"/>
    <w:basedOn w:val="a0"/>
    <w:uiPriority w:val="99"/>
    <w:semiHidden/>
    <w:unhideWhenUsed/>
    <w:rsid w:val="00A8179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1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817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17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8179E"/>
  </w:style>
  <w:style w:type="character" w:styleId="a3">
    <w:name w:val="Hyperlink"/>
    <w:basedOn w:val="a0"/>
    <w:uiPriority w:val="99"/>
    <w:semiHidden/>
    <w:unhideWhenUsed/>
    <w:rsid w:val="00A8179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1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817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1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y.zhaopin.com/pic/2013/7/9/7390b442-47cf-4218-aafd-a24e6462afde.jpg" TargetMode="External"/><Relationship Id="rId5" Type="http://schemas.openxmlformats.org/officeDocument/2006/relationships/hyperlink" Target="mailto:zhang849555465@sina.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2013-11-04T05:10:00Z</dcterms:created>
  <dcterms:modified xsi:type="dcterms:W3CDTF">2013-11-04T05:10:00Z</dcterms:modified>
</cp:coreProperties>
</file>