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31752534866c5795da1731f5aaa6e6cd3432cc"/>
      <w:r>
        <w:t xml:space="preserve">AI is making Alphabet more valuable, not less.</w:t>
      </w:r>
      <w:bookmarkEnd w:id="20"/>
    </w:p>
    <w:p>
      <w:pPr>
        <w:pStyle w:val="FirstParagraph"/>
      </w:pPr>
      <w:r>
        <w:rPr>
          <w:b/>
        </w:rPr>
        <w:t xml:space="preserve">Forecasting Case</w:t>
      </w:r>
      <w:r>
        <w:t xml:space="preserve"> </w:t>
      </w:r>
      <w:r>
        <w:t xml:space="preserve">- Alphabet (NASDAQ: GOOGL) · AI Economics for Incumbents</w:t>
      </w:r>
    </w:p>
    <w:p>
      <w:pPr>
        <w:pStyle w:val="BodyText"/>
      </w:pPr>
      <w:r>
        <w:t xml:space="preserve">A two-engine business architecture modeling Search/Services and Cloud separately, with AI Overviews monetization, Gemini long-query monetization, and the 2026 CapEx / D&amp;A trough explicitly preserved. Net call: AI raises Alphabet’s continuing value, modestly. Maintain position; the 2026 entry point will look worse than fair value.</w:t>
      </w:r>
    </w:p>
    <w:p>
      <w:pPr>
        <w:pStyle w:val="BodyText"/>
      </w:pPr>
      <w:r>
        <w:rPr>
          <w:b/>
        </w:rPr>
        <w:t xml:space="preserve">Highlights</w:t>
      </w:r>
    </w:p>
    <w:p>
      <w:pPr>
        <w:numPr>
          <w:ilvl w:val="0"/>
          <w:numId w:val="1001"/>
        </w:numPr>
        <w:pStyle w:val="Compact"/>
      </w:pPr>
      <w:r>
        <w:rPr>
          <w:b/>
        </w:rPr>
        <w:t xml:space="preserve">$240B</w:t>
      </w:r>
      <w:r>
        <w:t xml:space="preserve"> </w:t>
      </w:r>
      <w:r>
        <w:t xml:space="preserve">– Cloud Backlog Modeled</w:t>
      </w:r>
    </w:p>
    <w:p>
      <w:pPr>
        <w:numPr>
          <w:ilvl w:val="0"/>
          <w:numId w:val="1001"/>
        </w:numPr>
        <w:pStyle w:val="Compact"/>
      </w:pPr>
      <w:r>
        <w:rPr>
          <w:b/>
        </w:rPr>
        <w:t xml:space="preserve">+17% YoY</w:t>
      </w:r>
      <w:r>
        <w:t xml:space="preserve"> </w:t>
      </w:r>
      <w:r>
        <w:t xml:space="preserve">– Q4 2025 Search Print</w:t>
      </w:r>
    </w:p>
    <w:p>
      <w:pPr>
        <w:numPr>
          <w:ilvl w:val="0"/>
          <w:numId w:val="1001"/>
        </w:numPr>
        <w:pStyle w:val="Compact"/>
      </w:pPr>
      <w:r>
        <w:rPr>
          <w:b/>
        </w:rPr>
        <w:t xml:space="preserve">30.7%</w:t>
      </w:r>
      <w:r>
        <w:t xml:space="preserve"> </w:t>
      </w:r>
      <w:r>
        <w:t xml:space="preserve">– 2025 Cloud Margin</w:t>
      </w:r>
    </w:p>
    <w:p>
      <w:pPr>
        <w:numPr>
          <w:ilvl w:val="0"/>
          <w:numId w:val="1001"/>
        </w:numPr>
        <w:pStyle w:val="Compact"/>
      </w:pPr>
      <w:r>
        <w:rPr>
          <w:b/>
        </w:rPr>
        <w:t xml:space="preserve">2 Engines</w:t>
      </w:r>
      <w:r>
        <w:t xml:space="preserve"> </w:t>
      </w:r>
      <w:r>
        <w:t xml:space="preserve">– Architecture Modeled</w:t>
      </w:r>
    </w:p>
    <w:p>
      <w:r>
        <w:pict>
          <v:rect style="width:0;height:1.5pt" o:hralign="center" o:hrstd="t" o:hr="t"/>
        </w:pict>
      </w:r>
    </w:p>
    <w:p>
      <w:pPr>
        <w:pStyle w:val="Heading2"/>
      </w:pPr>
      <w:bookmarkStart w:id="21" w:name="bottom-line"/>
      <w:r>
        <w:t xml:space="preserve">Bottom Line</w:t>
      </w:r>
      <w:bookmarkEnd w:id="21"/>
    </w:p>
    <w:p>
      <w:pPr>
        <w:pStyle w:val="FirstParagraph"/>
      </w:pPr>
      <w:r>
        <w:rPr>
          <w:b/>
        </w:rPr>
        <w:t xml:space="preserve">Two engines. One capital cycle.</w:t>
      </w:r>
    </w:p>
    <w:p>
      <w:pPr>
        <w:pStyle w:val="BodyText"/>
      </w:pPr>
      <w:r>
        <w:t xml:space="preserve">Alphabet enters 2026 spending an estimated</w:t>
      </w:r>
      <w:r>
        <w:t xml:space="preserve"> </w:t>
      </w:r>
      <w:r>
        <w:rPr>
          <w:b/>
        </w:rPr>
        <w:t xml:space="preserve">$180B on AI infrastructure</w:t>
      </w:r>
      <w:r>
        <w:t xml:space="preserve">, more than its entire reported operating profit, while simultaneously redesigning Google Search around AI-generated answers. Investors face two open questions: does AI hurt Search’s terminal value, and does Cloud’s AI-driven growth cover the associated cost? This case study answers both.</w:t>
      </w:r>
      <w:r>
        <w:t xml:space="preserve"> </w:t>
      </w:r>
      <w:r>
        <w:rPr>
          <w:b/>
        </w:rPr>
        <w:t xml:space="preserve">AI raises Alphabet’s continuing value, modestly.</w:t>
      </w:r>
      <w:r>
        <w:t xml:space="preserve"> </w:t>
      </w:r>
      <w:r>
        <w:t xml:space="preserve">Search monetization is holding up: AI Overviews monetize at parity with traditional Search, query volume is expanding, and Q4 2025’s</w:t>
      </w:r>
      <w:r>
        <w:t xml:space="preserve"> </w:t>
      </w:r>
      <w:r>
        <w:rPr>
          <w:b/>
        </w:rPr>
        <w:t xml:space="preserve">+17% YoY Search &amp; other print</w:t>
      </w:r>
      <w:r>
        <w:t xml:space="preserve"> </w:t>
      </w:r>
      <w:r>
        <w:t xml:space="preserve">empirically rebuts the cannibalization thesis. Cloud’s growth, underwritten by a</w:t>
      </w:r>
      <w:r>
        <w:t xml:space="preserve"> </w:t>
      </w:r>
      <w:r>
        <w:rPr>
          <w:b/>
        </w:rPr>
        <w:t xml:space="preserve">$240B Q4 2025 backlog</w:t>
      </w:r>
      <w:r>
        <w:t xml:space="preserve"> </w:t>
      </w:r>
      <w:r>
        <w:t xml:space="preserve">covering 3.4× current revenue, arrives ahead of the depreciation wave. The 2026 free cash flow trough is timing, not terminal.</w:t>
      </w:r>
      <w:r>
        <w:t xml:space="preserve"> </w:t>
      </w:r>
      <w:r>
        <w:rPr>
          <w:b/>
        </w:rPr>
        <w:t xml:space="preserve">Recommendation: maintain position.</w:t>
      </w:r>
      <w:r>
        <w:t xml:space="preserve"> </w:t>
      </w:r>
      <w:r>
        <w:t xml:space="preserve">The 2026 entry point will look worse than fair value because the FCF trough suppresses optics, which, if the monetization thesis holds, is the opportunity rather than the risk. The analysis is structured around Alphabet’s two core engines (Search/Services and Google Cloud) because blending them would hide both the AI-driven margin headwind in Services and the AI-driven revenue tailwind in Cloud.</w:t>
      </w:r>
    </w:p>
    <w:p>
      <w:pPr>
        <w:pStyle w:val="BodyText"/>
      </w:pPr>
      <w:r>
        <w:t xml:space="preserve">AI Economics for Incumbents Two-Engine Architecture Forecasting &amp; Driver Trees AI Overviews Monetization Cloud CapEx Modeling Continuing Value Analysis Source-Grounded Forecast</w:t>
      </w:r>
    </w:p>
    <w:p>
      <w:pPr>
        <w:pStyle w:val="Heading2"/>
      </w:pPr>
      <w:bookmarkStart w:id="22" w:name="methodology-sources"/>
      <w:r>
        <w:t xml:space="preserve">Methodology &amp; Sources</w:t>
      </w:r>
      <w:bookmarkEnd w:id="22"/>
    </w:p>
    <w:p>
      <w:pPr>
        <w:pStyle w:val="FirstParagraph"/>
      </w:pPr>
      <w:r>
        <w:rPr>
          <w:b/>
        </w:rPr>
        <w:t xml:space="preserve">How the case was built</w:t>
      </w:r>
    </w:p>
    <w:p>
      <w:pPr>
        <w:pStyle w:val="BodyText"/>
      </w:pPr>
      <w:r>
        <w:t xml:space="preserve">The findings below are not management commentary repackaged. The forecast is built from public-disclosure sources and structured so every assumption can be re-checked against the document it came from. Four methodology pillars hold the case together.</w:t>
      </w:r>
    </w:p>
    <w:p>
      <w:pPr>
        <w:pStyle w:val="BodyText"/>
      </w:pPr>
      <w:r>
        <w:t xml:space="preserve">01 · Sources</w:t>
      </w:r>
    </w:p>
    <w:p>
      <w:pPr>
        <w:pStyle w:val="BodyText"/>
      </w:pPr>
      <w:r>
        <w:rPr>
          <w:b/>
        </w:rPr>
        <w:t xml:space="preserve">Public-Disclosure Inputs</w:t>
      </w:r>
    </w:p>
    <w:p>
      <w:pPr>
        <w:pStyle w:val="BodyText"/>
      </w:pPr>
      <w:r>
        <w:t xml:space="preserve">Alphabet’s most recent 10-K, four sequential 10-Q filings, the Q4 2025 earnings release, the Q4 2025 earnings call transcript, and segment-level operating disclosures. No private data, no proprietary surveys.</w:t>
      </w:r>
    </w:p>
    <w:p>
      <w:pPr>
        <w:pStyle w:val="BodyText"/>
      </w:pPr>
      <w:r>
        <w:t xml:space="preserve">02 · Architecture</w:t>
      </w:r>
    </w:p>
    <w:p>
      <w:pPr>
        <w:pStyle w:val="BodyText"/>
      </w:pPr>
      <w:r>
        <w:rPr>
          <w:b/>
        </w:rPr>
        <w:t xml:space="preserve">Two-Engine Decomposition</w:t>
      </w:r>
    </w:p>
    <w:p>
      <w:pPr>
        <w:pStyle w:val="BodyText"/>
      </w:pPr>
      <w:r>
        <w:t xml:space="preserve">Alphabet is modeled as two distinct businesses: Search/Services and Google Cloud, with Other Bets as optionality. Modeling them separately is the key analytical move, because AI affects them in opposite directions on margin and revenue.</w:t>
      </w:r>
    </w:p>
    <w:p>
      <w:pPr>
        <w:pStyle w:val="BodyText"/>
      </w:pPr>
      <w:r>
        <w:t xml:space="preserve">03 · KPI Spine</w:t>
      </w:r>
    </w:p>
    <w:p>
      <w:pPr>
        <w:pStyle w:val="BodyText"/>
      </w:pPr>
      <w:r>
        <w:rPr>
          <w:b/>
        </w:rPr>
        <w:t xml:space="preserve">Nine Variables That Move the Forecast</w:t>
      </w:r>
    </w:p>
    <w:p>
      <w:pPr>
        <w:pStyle w:val="BodyText"/>
      </w:pPr>
      <w:r>
        <w:t xml:space="preserve">Services and Search revenue growth, Services and Cloud operating margins, Cloud backlog, consolidated CapEx, D&amp;A, and free cash flow. Every other input rolls up into one of these nine, which keeps the forecast from drifting on assumptions that don’t actually drive the answer.</w:t>
      </w:r>
    </w:p>
    <w:p>
      <w:pPr>
        <w:pStyle w:val="BodyText"/>
      </w:pPr>
      <w:r>
        <w:t xml:space="preserve">04 · Driver Tree</w:t>
      </w:r>
    </w:p>
    <w:p>
      <w:pPr>
        <w:pStyle w:val="BodyText"/>
      </w:pPr>
      <w:r>
        <w:rPr>
          <w:b/>
        </w:rPr>
        <w:t xml:space="preserve">Each Assumption Tied to a Source</w:t>
      </w:r>
    </w:p>
    <w:p>
      <w:pPr>
        <w:pStyle w:val="BodyText"/>
      </w:pPr>
      <w:r>
        <w:t xml:space="preserve">Every business claim used in the forecast (query growth, monetization rate, Cloud backlog conversion, CapEx pulse) maps to one specific KPI and one specific public-disclosure source, so any reader can trace an assumption back to where it came from.</w:t>
      </w:r>
    </w:p>
    <w:p>
      <w:pPr>
        <w:pStyle w:val="Heading2"/>
      </w:pPr>
      <w:bookmarkStart w:id="23" w:name="the-situation"/>
      <w:r>
        <w:t xml:space="preserve">The Situation</w:t>
      </w:r>
      <w:bookmarkEnd w:id="23"/>
    </w:p>
    <w:p>
      <w:pPr>
        <w:pStyle w:val="FirstParagraph"/>
      </w:pPr>
      <w:r>
        <w:rPr>
          <w:b/>
        </w:rPr>
        <w:t xml:space="preserve">Two valuation calls, hidden inside one ticker</w:t>
      </w:r>
    </w:p>
    <w:p>
      <w:pPr>
        <w:pStyle w:val="BodyText"/>
      </w:pPr>
      <w:r>
        <w:t xml:space="preserve">The investor question on Alphabet has shifted from</w:t>
      </w:r>
      <w:r>
        <w:t xml:space="preserve"> </w:t>
      </w:r>
      <w:r>
        <w:t xml:space="preserve">“</w:t>
      </w:r>
      <w:r>
        <w:t xml:space="preserve">is Search durable?</w:t>
      </w:r>
      <w:r>
        <w:t xml:space="preserve">”</w:t>
      </w:r>
      <w:r>
        <w:t xml:space="preserve"> </w:t>
      </w:r>
      <w:r>
        <w:t xml:space="preserve">to two finer questions running in parallel.</w:t>
      </w:r>
      <w:r>
        <w:t xml:space="preserve"> </w:t>
      </w:r>
      <w:r>
        <w:rPr>
          <w:b/>
        </w:rPr>
        <w:t xml:space="preserve">Does AI raise or lower Search’s terminal value?</w:t>
      </w:r>
      <w:r>
        <w:t xml:space="preserve"> </w:t>
      </w:r>
      <w:r>
        <w:t xml:space="preserve">AI Overviews and Gemini change the cost per query and reshape the monetizable surface.</w:t>
      </w:r>
      <w:r>
        <w:t xml:space="preserve"> </w:t>
      </w:r>
      <w:r>
        <w:rPr>
          <w:b/>
        </w:rPr>
        <w:t xml:space="preserve">Does Cloud’s AI-driven growth cover the associated CapEx and depreciation?</w:t>
      </w:r>
      <w:r>
        <w:t xml:space="preserve"> </w:t>
      </w:r>
      <w:r>
        <w:t xml:space="preserve">A $180B 2026 CapEx number is the single hardest valuation fact in the case, and it does not land cleanly in either segment.</w:t>
      </w:r>
    </w:p>
    <w:p>
      <w:pPr>
        <w:pStyle w:val="BodyText"/>
      </w:pPr>
      <w:r>
        <w:t xml:space="preserve">The case approaches both questions through a two-engine business architecture: Search / Services and Google Cloud, with Other Bets (primarily Waymo) treated as optionality. A blended forecast would net an AI-driven margin headwind inside Services against an AI-driven revenue tailwind inside Cloud, hiding both directional calls. Keeping them separate also lets the forecast reflect that</w:t>
      </w:r>
      <w:r>
        <w:t xml:space="preserve"> </w:t>
      </w:r>
      <w:r>
        <w:rPr>
          <w:b/>
        </w:rPr>
        <w:t xml:space="preserve">roughly half of 2026 ML compute is allocated to Cloud</w:t>
      </w:r>
      <w:r>
        <w:t xml:space="preserve">, matching CapEx burden to the revenue engine it supports.</w:t>
      </w:r>
    </w:p>
    <w:p>
      <w:pPr>
        <w:pStyle w:val="BodyText"/>
      </w:pPr>
      <w:r>
        <w:t xml:space="preserve">The case study walks through the two-engine architecture, the driver logic that moves each KPI, the mechanism findings, the 2026 FCF trough, and the continuing-value framework that nets the AI tailwinds against the AI headwinds. Every forecast assumption is traced to a specific public-disclosure source: a 10-K filing, a quarterly earnings release, or management commentary on the call.</w:t>
      </w:r>
    </w:p>
    <w:p>
      <w:pPr>
        <w:pStyle w:val="Heading2"/>
      </w:pPr>
      <w:bookmarkStart w:id="24" w:name="business-architecture"/>
      <w:r>
        <w:t xml:space="preserve">Business Architecture</w:t>
      </w:r>
      <w:bookmarkEnd w:id="24"/>
    </w:p>
    <w:p>
      <w:pPr>
        <w:pStyle w:val="FirstParagraph"/>
      </w:pPr>
      <w:r>
        <w:rPr>
          <w:b/>
        </w:rPr>
        <w:t xml:space="preserve">Why one engine is not enough</w:t>
      </w:r>
    </w:p>
    <w:p>
      <w:pPr>
        <w:pStyle w:val="BodyText"/>
      </w:pPr>
      <w:r>
        <w:t xml:space="preserve">Services is a high-margin, auction-based, incumbency-protected engine where AI changes unit economics. Cloud is a capacity-constrained infrastructure engine where AI simultaneously raises demand and raises CapEx and depreciation. Modeling them separately is the single most important methodological decision in the case.</w:t>
      </w:r>
    </w:p>
    <w:p>
      <w:pPr>
        <w:pStyle w:val="BodyText"/>
      </w:pPr>
      <w:r>
        <w:t xml:space="preserve">Engine 1 · Search / Services</w:t>
      </w:r>
    </w:p>
    <w:p>
      <w:pPr>
        <w:pStyle w:val="Heading3"/>
      </w:pPr>
      <w:bookmarkStart w:id="25" w:name="Xb26c67686bccf0e1304af13688d8464312327c4"/>
      <w:r>
        <w:t xml:space="preserve">Auction economics. AI changes unit costs.</w:t>
      </w:r>
      <w:bookmarkEnd w:id="25"/>
    </w:p>
    <w:p>
      <w:pPr>
        <w:pStyle w:val="FirstParagraph"/>
      </w:pPr>
      <w:r>
        <w:t xml:space="preserve">Google Search · YouTube · Gmail · Network · YouTube Premium · YouTube TV · Google One · Pixel</w:t>
      </w:r>
    </w:p>
    <w:p>
      <w:pPr>
        <w:pStyle w:val="BodyText"/>
      </w:pPr>
      <w:r>
        <w:t xml:space="preserve">Sells ad impressions and clicks produced by query-driven surfaces, plus a subscription and device tail. Advertisers pay CPC/CPM at auction; consumers pay subscription and device prices. Unit economics rest on</w:t>
      </w:r>
      <w:r>
        <w:t xml:space="preserve"> </w:t>
      </w:r>
      <w:r>
        <w:rPr>
          <w:b/>
        </w:rPr>
        <w:t xml:space="preserve">query volume × ad load × CPC, net of Traffic Acquisition Costs</w:t>
      </w:r>
      <w:r>
        <w:t xml:space="preserve">.</w:t>
      </w:r>
    </w:p>
    <w:p>
      <w:pPr>
        <w:pStyle w:val="BodyText"/>
      </w:pPr>
      <w:r>
        <w:t xml:space="preserve">Margins are driven by auction pricing, TAC share, and serving cost per query, which is where AI inference enters the cost function. Reinvestment has historically been modest but is now rising materially with AI inference compute.</w:t>
      </w:r>
    </w:p>
    <w:p>
      <w:pPr>
        <w:pStyle w:val="BodyText"/>
      </w:pPr>
      <w:r>
        <w:t xml:space="preserve">40.7% FY25 Services Operating Margin</w:t>
      </w:r>
    </w:p>
    <w:p>
      <w:pPr>
        <w:pStyle w:val="BodyText"/>
      </w:pPr>
      <w:r>
        <w:t xml:space="preserve">~38% Modeled Steady-State Margin</w:t>
      </w:r>
    </w:p>
    <w:p>
      <w:pPr>
        <w:pStyle w:val="BodyText"/>
      </w:pPr>
      <w:r>
        <w:t xml:space="preserve">+17% YoY Q4 2025 Search &amp; Other</w:t>
      </w:r>
    </w:p>
    <w:p>
      <w:pPr>
        <w:pStyle w:val="BodyText"/>
      </w:pPr>
      <w:r>
        <w:t xml:space="preserve">~13% 2026 Services Growth (Base Case)</w:t>
      </w:r>
    </w:p>
    <w:p>
      <w:pPr>
        <w:numPr>
          <w:ilvl w:val="0"/>
          <w:numId w:val="1002"/>
        </w:numPr>
        <w:pStyle w:val="Compact"/>
      </w:pPr>
      <w:r>
        <w:t xml:space="preserve">AI surfaces expand query breadth (Overviews, AI Mode)</w:t>
      </w:r>
    </w:p>
    <w:p>
      <w:pPr>
        <w:numPr>
          <w:ilvl w:val="0"/>
          <w:numId w:val="1002"/>
        </w:numPr>
        <w:pStyle w:val="Compact"/>
      </w:pPr>
      <w:r>
        <w:t xml:space="preserve">Overviews monetize</w:t>
      </w:r>
      <w:r>
        <w:t xml:space="preserve"> </w:t>
      </w:r>
      <w:r>
        <w:t xml:space="preserve">“</w:t>
      </w:r>
      <w:r>
        <w:t xml:space="preserve">approximately the same rate</w:t>
      </w:r>
      <w:r>
        <w:t xml:space="preserve">”</w:t>
      </w:r>
      <w:r>
        <w:t xml:space="preserve"> </w:t>
      </w:r>
      <w:r>
        <w:t xml:space="preserve">as traditional Search</w:t>
      </w:r>
    </w:p>
    <w:p>
      <w:pPr>
        <w:numPr>
          <w:ilvl w:val="0"/>
          <w:numId w:val="1002"/>
        </w:numPr>
        <w:pStyle w:val="Compact"/>
      </w:pPr>
      <w:r>
        <w:t xml:space="preserve">Gemini widens monetizable query surface (long, complex queries)</w:t>
      </w:r>
    </w:p>
    <w:p>
      <w:pPr>
        <w:numPr>
          <w:ilvl w:val="0"/>
          <w:numId w:val="1002"/>
        </w:numPr>
        <w:pStyle w:val="Compact"/>
      </w:pPr>
      <w:r>
        <w:t xml:space="preserve">Inference cost per query creates a structural margin floor</w:t>
      </w:r>
    </w:p>
    <w:p>
      <w:pPr>
        <w:pStyle w:val="FirstParagraph"/>
      </w:pPr>
      <w:r>
        <w:t xml:space="preserve">Engine 2 · Google Cloud</w:t>
      </w:r>
    </w:p>
    <w:p>
      <w:pPr>
        <w:pStyle w:val="Heading3"/>
      </w:pPr>
      <w:bookmarkStart w:id="26" w:name="Xbe14a31af5cc8c0122725f7610674ffe6005b15"/>
      <w:r>
        <w:t xml:space="preserve">Supply-limited. AI raises demand and CapEx together.</w:t>
      </w:r>
      <w:bookmarkEnd w:id="26"/>
    </w:p>
    <w:p>
      <w:pPr>
        <w:pStyle w:val="FirstParagraph"/>
      </w:pPr>
      <w:r>
        <w:t xml:space="preserve">GCP infrastructure · Workspace · Vertex AI · Gemini APIs · Agents</w:t>
      </w:r>
    </w:p>
    <w:p>
      <w:pPr>
        <w:pStyle w:val="BodyText"/>
      </w:pPr>
      <w:r>
        <w:t xml:space="preserve">Sells consumption-based infrastructure, per-seat productivity, and AI solutions. Customers are enterprises and developers. Unit economics rest on</w:t>
      </w:r>
      <w:r>
        <w:t xml:space="preserve"> </w:t>
      </w:r>
      <w:r>
        <w:rPr>
          <w:b/>
        </w:rPr>
        <w:t xml:space="preserve">consumption × unit price and backlog conversion</w:t>
      </w:r>
      <w:r>
        <w:t xml:space="preserve">, with margins driven by TPU/GPU utilization, pricing discipline, and mix shift to higher-margin Workspace and AI-solutions.</w:t>
      </w:r>
    </w:p>
    <w:p>
      <w:pPr>
        <w:pStyle w:val="BodyText"/>
      </w:pPr>
      <w:r>
        <w:t xml:space="preserve">Reinvestment is the largest line in Alphabet’s capital budget: data centers, accelerators, and sales capacity. The 2024 to 2025 margin step (14.1% to 30.7%) shows what scale absorption looks like once a CapEx wave is in place.</w:t>
      </w:r>
    </w:p>
    <w:p>
      <w:pPr>
        <w:pStyle w:val="BodyText"/>
      </w:pPr>
      <w:r>
        <w:t xml:space="preserve">30.7% 2025 Cloud Operating Margin</w:t>
      </w:r>
    </w:p>
    <w:p>
      <w:pPr>
        <w:pStyle w:val="BodyText"/>
      </w:pPr>
      <w:r>
        <w:t xml:space="preserve">14.1% 2024 Cloud Operating Margin</w:t>
      </w:r>
    </w:p>
    <w:p>
      <w:pPr>
        <w:pStyle w:val="BodyText"/>
      </w:pPr>
      <w:r>
        <w:t xml:space="preserve">$240B Q4 2025 Backlog (~3.4× rev)</w:t>
      </w:r>
    </w:p>
    <w:p>
      <w:pPr>
        <w:pStyle w:val="BodyText"/>
      </w:pPr>
      <w:r>
        <w:t xml:space="preserve">+48% YoY Q4 2025 Cloud Revenue ($17.7B)</w:t>
      </w:r>
    </w:p>
    <w:p>
      <w:pPr>
        <w:numPr>
          <w:ilvl w:val="0"/>
          <w:numId w:val="1003"/>
        </w:numPr>
        <w:pStyle w:val="Compact"/>
      </w:pPr>
      <w:r>
        <w:t xml:space="preserve">Demand is supply-limited, not demand-limited</w:t>
      </w:r>
    </w:p>
    <w:p>
      <w:pPr>
        <w:numPr>
          <w:ilvl w:val="0"/>
          <w:numId w:val="1003"/>
        </w:numPr>
        <w:pStyle w:val="Compact"/>
      </w:pPr>
      <w:r>
        <w:t xml:space="preserve">40% modeled 2026 growth underwritten by backlog</w:t>
      </w:r>
    </w:p>
    <w:p>
      <w:pPr>
        <w:numPr>
          <w:ilvl w:val="0"/>
          <w:numId w:val="1003"/>
        </w:numPr>
        <w:pStyle w:val="Compact"/>
      </w:pPr>
      <w:r>
        <w:t xml:space="preserve">2026 margin dip to ~26% on new-capacity D&amp;A</w:t>
      </w:r>
    </w:p>
    <w:p>
      <w:pPr>
        <w:numPr>
          <w:ilvl w:val="0"/>
          <w:numId w:val="1003"/>
        </w:numPr>
        <w:pStyle w:val="Compact"/>
      </w:pPr>
      <w:r>
        <w:t xml:space="preserve">Recovery to ~30% by 2028 as utilization absorbs CapEx</w:t>
      </w:r>
    </w:p>
    <w:p>
      <w:pPr>
        <w:pStyle w:val="FirstParagraph"/>
      </w:pPr>
      <w:r>
        <w:t xml:space="preserve">Other Bets · Optionality</w:t>
      </w:r>
    </w:p>
    <w:p>
      <w:pPr>
        <w:pStyle w:val="BodyText"/>
      </w:pPr>
      <w:r>
        <w:t xml:space="preserve">Primarily Waymo. 2025 segment revenue of</w:t>
      </w:r>
      <w:r>
        <w:t xml:space="preserve"> </w:t>
      </w:r>
      <w:r>
        <w:rPr>
          <w:b/>
        </w:rPr>
        <w:t xml:space="preserve">$1.9B</w:t>
      </w:r>
      <w:r>
        <w:t xml:space="preserve"> </w:t>
      </w:r>
      <w:r>
        <w:t xml:space="preserve">and operating loss of</w:t>
      </w:r>
      <w:r>
        <w:t xml:space="preserve"> </w:t>
      </w:r>
      <w:r>
        <w:rPr>
          <w:b/>
        </w:rPr>
        <w:t xml:space="preserve">$8.6B</w:t>
      </w:r>
      <w:r>
        <w:t xml:space="preserve"> </w:t>
      </w:r>
      <w:r>
        <w:t xml:space="preserve">are too small to move the consolidated story but absorb capital and are worth watching for commercialization milestones. Modeled as optionality, not as a steady-state contributor.</w:t>
      </w:r>
    </w:p>
    <w:p>
      <w:pPr>
        <w:pStyle w:val="Heading2"/>
      </w:pPr>
      <w:bookmarkStart w:id="27" w:name="driver-tree-kpi-spine"/>
      <w:r>
        <w:t xml:space="preserve">Driver Tree &amp; KPI Spine</w:t>
      </w:r>
      <w:bookmarkEnd w:id="27"/>
    </w:p>
    <w:p>
      <w:pPr>
        <w:pStyle w:val="FirstParagraph"/>
      </w:pPr>
      <w:r>
        <w:rPr>
          <w:b/>
        </w:rPr>
        <w:t xml:space="preserve">What actually moves the forecast</w:t>
      </w:r>
    </w:p>
    <w:p>
      <w:pPr>
        <w:pStyle w:val="BodyText"/>
      </w:pPr>
      <w:r>
        <w:t xml:space="preserve">The forecast is built around a</w:t>
      </w:r>
      <w:r>
        <w:t xml:space="preserve"> </w:t>
      </w:r>
      <w:r>
        <w:rPr>
          <w:b/>
        </w:rPr>
        <w:t xml:space="preserve">KPI spine</w:t>
      </w:r>
      <w:r>
        <w:t xml:space="preserve">: nine financial variables that, taken together, determine Alphabet’s reported numbers. They are Services revenue growth, Search &amp; other growth, Services operating margin, Cloud revenue growth, Cloud operating margin, Cloud backlog, consolidated CapEx, D&amp;A, and free cash flow. Above the KPI spine sits a</w:t>
      </w:r>
      <w:r>
        <w:t xml:space="preserve"> </w:t>
      </w:r>
      <w:r>
        <w:rPr>
          <w:b/>
        </w:rPr>
        <w:t xml:space="preserve">driver tree</w:t>
      </w:r>
      <w:r>
        <w:t xml:space="preserve">: each driver below maps one specific business claim to one of those variables and one source of disclosure, so the assumption can be re-checked against a 10-K, 10-Q, or earnings call quote. AI Overviews monetization rate and AI Search usage uplift are included as proxies because per-query economics are not directly disclosed.</w:t>
      </w:r>
    </w:p>
    <w:p>
      <w:pPr>
        <w:pStyle w:val="BodyText"/>
      </w:pPr>
      <w:r>
        <w:t xml:space="preserve">Driver A · Search Demand</w:t>
      </w:r>
    </w:p>
    <w:p>
      <w:pPr>
        <w:pStyle w:val="BodyText"/>
      </w:pPr>
      <w:r>
        <w:rPr>
          <w:b/>
        </w:rPr>
        <w:t xml:space="preserve">AI surfaces expand query breadth</w:t>
      </w:r>
    </w:p>
    <w:p>
      <w:pPr>
        <w:pStyle w:val="BodyText"/>
      </w:pPr>
      <w:r>
        <w:t xml:space="preserve">Two independent data points from management: AI Overviews is</w:t>
      </w:r>
      <w:r>
        <w:t xml:space="preserve"> </w:t>
      </w:r>
      <w:r>
        <w:t xml:space="preserve">“</w:t>
      </w:r>
      <w:r>
        <w:t xml:space="preserve">driving over 10% increase in usage</w:t>
      </w:r>
      <w:r>
        <w:t xml:space="preserve">”</w:t>
      </w:r>
      <w:r>
        <w:t xml:space="preserve"> </w:t>
      </w:r>
      <w:r>
        <w:t xml:space="preserve">in the U.S. and India, and AI Mode</w:t>
      </w:r>
      <w:r>
        <w:t xml:space="preserve"> </w:t>
      </w:r>
      <w:r>
        <w:t xml:space="preserve">“</w:t>
      </w:r>
      <w:r>
        <w:t xml:space="preserve">is driving incremental total query growth for Search.</w:t>
      </w:r>
      <w:r>
        <w:t xml:space="preserve">”</w:t>
      </w:r>
      <w:r>
        <w:t xml:space="preserve"> </w:t>
      </w:r>
      <w:r>
        <w:t xml:space="preserve">This driver moves the Services revenue growth line</w:t>
      </w:r>
      <w:r>
        <w:t xml:space="preserve"> </w:t>
      </w:r>
      <w:r>
        <w:rPr>
          <w:b/>
        </w:rPr>
        <w:t xml:space="preserve">before</w:t>
      </w:r>
      <w:r>
        <w:t xml:space="preserve"> </w:t>
      </w:r>
      <w:r>
        <w:t xml:space="preserve">any monetization call is required.</w:t>
      </w:r>
    </w:p>
    <w:p>
      <w:pPr>
        <w:pStyle w:val="BodyText"/>
      </w:pPr>
      <w:r>
        <w:t xml:space="preserve">Driver B · Search Monetization</w:t>
      </w:r>
    </w:p>
    <w:p>
      <w:pPr>
        <w:pStyle w:val="BodyText"/>
      </w:pPr>
      <w:r>
        <w:rPr>
          <w:b/>
        </w:rPr>
        <w:t xml:space="preserve">Overviews monetize at the traditional rate</w:t>
      </w:r>
    </w:p>
    <w:p>
      <w:pPr>
        <w:pStyle w:val="BodyText"/>
      </w:pPr>
      <w:r>
        <w:t xml:space="preserve">Two claims, both from management. AI Overviews monetize at</w:t>
      </w:r>
      <w:r>
        <w:t xml:space="preserve"> </w:t>
      </w:r>
      <w:r>
        <w:t xml:space="preserve">“</w:t>
      </w:r>
      <w:r>
        <w:t xml:space="preserve">approximately the same rate</w:t>
      </w:r>
      <w:r>
        <w:t xml:space="preserve">”</w:t>
      </w:r>
      <w:r>
        <w:t xml:space="preserve"> </w:t>
      </w:r>
      <w:r>
        <w:t xml:space="preserve">as traditional Search, eliminating the near-term cannibalization haircut in the base case. Gemini</w:t>
      </w:r>
      <w:r>
        <w:t xml:space="preserve"> </w:t>
      </w:r>
      <w:r>
        <w:t xml:space="preserve">“</w:t>
      </w:r>
      <w:r>
        <w:t xml:space="preserve">increased our ability to deliver ads on longer, more complex searches that were previously challenging to monetize,</w:t>
      </w:r>
      <w:r>
        <w:t xml:space="preserve">”</w:t>
      </w:r>
      <w:r>
        <w:t xml:space="preserve"> </w:t>
      </w:r>
      <w:r>
        <w:t xml:space="preserve">widening the monetizable surface at the margin.</w:t>
      </w:r>
    </w:p>
    <w:p>
      <w:pPr>
        <w:pStyle w:val="BodyText"/>
      </w:pPr>
      <w:r>
        <w:t xml:space="preserve">Driver C · Search Margin</w:t>
      </w:r>
    </w:p>
    <w:p>
      <w:pPr>
        <w:pStyle w:val="BodyText"/>
      </w:pPr>
      <w:r>
        <w:rPr>
          <w:b/>
        </w:rPr>
        <w:t xml:space="preserve">Inference raises cost per query</w:t>
      </w:r>
    </w:p>
    <w:p>
      <w:pPr>
        <w:pStyle w:val="BodyText"/>
      </w:pPr>
      <w:r>
        <w:t xml:space="preserve">AI inference raises cost per query. This is an inference from segment margin disclosures rather than a direct disclosure, but it creates a structural floor slightly below the pre-AI Services margin, independent of the near-term D&amp;A drag. Variable moved: Services operating margin, steady state at</w:t>
      </w:r>
      <w:r>
        <w:t xml:space="preserve"> </w:t>
      </w:r>
      <w:r>
        <w:rPr>
          <w:b/>
        </w:rPr>
        <w:t xml:space="preserve">~38% vs. the 40.7% 2025A peak</w:t>
      </w:r>
      <w:r>
        <w:t xml:space="preserve">.</w:t>
      </w:r>
    </w:p>
    <w:p>
      <w:pPr>
        <w:pStyle w:val="BodyText"/>
      </w:pPr>
      <w:r>
        <w:t xml:space="preserve">Driver D · CapEx &amp; D&amp;A</w:t>
      </w:r>
    </w:p>
    <w:p>
      <w:pPr>
        <w:pStyle w:val="BodyText"/>
      </w:pPr>
      <w:r>
        <w:rPr>
          <w:b/>
        </w:rPr>
        <w:t xml:space="preserve">2024 to 2026 CapEx pulse</w:t>
      </w:r>
    </w:p>
    <w:p>
      <w:pPr>
        <w:pStyle w:val="BodyText"/>
      </w:pPr>
      <w:r>
        <w:t xml:space="preserve">The 2024 to 2026 CapEx pulse pins 2026 CapEx at the</w:t>
      </w:r>
      <w:r>
        <w:t xml:space="preserve"> </w:t>
      </w:r>
      <w:r>
        <w:rPr>
          <w:b/>
        </w:rPr>
        <w:t xml:space="preserve">$180B guidance midpoint</w:t>
      </w:r>
      <w:r>
        <w:t xml:space="preserve">. The D&amp;A resulting from that pulse creates near-term margin and FCF drag, with management explicitly telling investors that 2026 D&amp;A</w:t>
      </w:r>
      <w:r>
        <w:t xml:space="preserve"> </w:t>
      </w:r>
      <w:r>
        <w:t xml:space="preserve">“</w:t>
      </w:r>
      <w:r>
        <w:t xml:space="preserve">meaningfully increase[s].</w:t>
      </w:r>
      <w:r>
        <w:t xml:space="preserve">”</w:t>
      </w:r>
      <w:r>
        <w:t xml:space="preserve"> </w:t>
      </w:r>
      <w:r>
        <w:t xml:space="preserve">Together these drive the 2026 FCF trough that anchors the valuation discussion.</w:t>
      </w:r>
    </w:p>
    <w:p>
      <w:pPr>
        <w:pStyle w:val="BodyText"/>
      </w:pPr>
      <w:r>
        <w:t xml:space="preserve">Driver E · Cloud Demand &amp; Margin</w:t>
      </w:r>
    </w:p>
    <w:p>
      <w:pPr>
        <w:pStyle w:val="BodyText"/>
      </w:pPr>
      <w:r>
        <w:rPr>
          <w:b/>
        </w:rPr>
        <w:t xml:space="preserve">Backlog underwrites 40% growth</w:t>
      </w:r>
    </w:p>
    <w:p>
      <w:pPr>
        <w:pStyle w:val="BodyText"/>
      </w:pPr>
      <w:r>
        <w:t xml:space="preserve">Cloud demand is supply-limited, not demand-limited, by management’s own characterization.</w:t>
      </w:r>
      <w:r>
        <w:t xml:space="preserve"> </w:t>
      </w:r>
      <w:r>
        <w:rPr>
          <w:b/>
        </w:rPr>
        <w:t xml:space="preserve">Backlog of $240B at Q4 2025 covers ~3.4× 2025 Cloud revenue.</w:t>
      </w:r>
      <w:r>
        <w:t xml:space="preserve"> </w:t>
      </w:r>
      <w:r>
        <w:t xml:space="preserve">This underwrites 40% Cloud growth in 2026 without an independent demand forecast. Cloud operating margin recovers from a 26% 2026 dip to 30% by 2028 as utilization absorbs new capacity.</w:t>
      </w:r>
    </w:p>
    <w:p>
      <w:pPr>
        <w:pStyle w:val="BodyText"/>
      </w:pPr>
      <w:r>
        <w:t xml:space="preserve">Driver F · Allocation &amp; Tax</w:t>
      </w:r>
    </w:p>
    <w:p>
      <w:pPr>
        <w:pStyle w:val="BodyText"/>
      </w:pPr>
      <w:r>
        <w:rPr>
          <w:b/>
        </w:rPr>
        <w:t xml:space="preserve">Half of 2026 ML compute is tagged to Cloud</w:t>
      </w:r>
    </w:p>
    <w:p>
      <w:pPr>
        <w:pStyle w:val="BodyText"/>
      </w:pPr>
      <w:r>
        <w:t xml:space="preserve">Roughly half of 2026 ML compute is tagged to Cloud, per management commentary. This matters for segment margin optics:</w:t>
      </w:r>
      <w:r>
        <w:t xml:space="preserve"> </w:t>
      </w:r>
      <w:r>
        <w:rPr>
          <w:b/>
        </w:rPr>
        <w:t xml:space="preserve">Cloud revenue partly funds the D&amp;A burden that would otherwise land entirely in Services</w:t>
      </w:r>
      <w:r>
        <w:t xml:space="preserve">. Effective tax modeled at 17%, consistent with 16.4% in 2024 and 16.8% in 2025.</w:t>
      </w:r>
    </w:p>
    <w:p>
      <w:pPr>
        <w:pStyle w:val="Heading2"/>
      </w:pPr>
      <w:bookmarkStart w:id="28" w:name="key-findings-mechanism"/>
      <w:r>
        <w:t xml:space="preserve">Key Findings · Mechanism</w:t>
      </w:r>
      <w:bookmarkEnd w:id="28"/>
    </w:p>
    <w:p>
      <w:pPr>
        <w:pStyle w:val="FirstParagraph"/>
      </w:pPr>
      <w:r>
        <w:rPr>
          <w:b/>
        </w:rPr>
        <w:t xml:space="preserve">What’s actually moving the picture</w:t>
      </w:r>
    </w:p>
    <w:p>
      <w:pPr>
        <w:pStyle w:val="BodyText"/>
      </w:pPr>
      <w:r>
        <w:t xml:space="preserve">Five mechanism findings, each tied to an empirical cross-check from public disclosures. The empirical cross-checks are the load-bearing parts of the case: management commentary describes intent, the cross-checks confirm whether the intent is actually showing up in the numbers.</w:t>
      </w:r>
    </w:p>
    <w:p>
      <w:pPr>
        <w:pStyle w:val="Heading3"/>
      </w:pPr>
      <w:bookmarkStart w:id="29" w:name="X9fabd4d89ee83876fedf1e2c76a2450bdc7bc71"/>
      <w:r>
        <w:t xml:space="preserve">AI is expanding the monetizable surface, not compressing per-query monetization</w:t>
      </w:r>
      <w:bookmarkEnd w:id="29"/>
    </w:p>
    <w:p>
      <w:pPr>
        <w:pStyle w:val="FirstParagraph"/>
      </w:pPr>
      <w:r>
        <w:t xml:space="preserve">AI Overviews is</w:t>
      </w:r>
      <w:r>
        <w:t xml:space="preserve"> </w:t>
      </w:r>
      <w:r>
        <w:t xml:space="preserve">“</w:t>
      </w:r>
      <w:r>
        <w:t xml:space="preserve">driving over 10% increase in usage</w:t>
      </w:r>
      <w:r>
        <w:t xml:space="preserve">”</w:t>
      </w:r>
      <w:r>
        <w:t xml:space="preserve"> </w:t>
      </w:r>
      <w:r>
        <w:t xml:space="preserve">in the U.S. and India. AI Mode is</w:t>
      </w:r>
      <w:r>
        <w:t xml:space="preserve"> </w:t>
      </w:r>
      <w:r>
        <w:t xml:space="preserve">“</w:t>
      </w:r>
      <w:r>
        <w:t xml:space="preserve">driving incremental total query growth for Search.</w:t>
      </w:r>
      <w:r>
        <w:t xml:space="preserve">”</w:t>
      </w:r>
      <w:r>
        <w:t xml:space="preserve"> </w:t>
      </w:r>
      <w:r>
        <w:t xml:space="preserve">Gemini</w:t>
      </w:r>
      <w:r>
        <w:t xml:space="preserve"> </w:t>
      </w:r>
      <w:r>
        <w:t xml:space="preserve">“</w:t>
      </w:r>
      <w:r>
        <w:t xml:space="preserve">increased our ability to deliver ads on longer, more complex searches that were previously challenging to monetize.</w:t>
      </w:r>
      <w:r>
        <w:t xml:space="preserve">”</w:t>
      </w:r>
      <w:r>
        <w:t xml:space="preserve"> </w:t>
      </w:r>
      <w:r>
        <w:t xml:space="preserve">Most importantly, AI Overviews monetize at</w:t>
      </w:r>
      <w:r>
        <w:t xml:space="preserve"> </w:t>
      </w:r>
      <w:r>
        <w:t xml:space="preserve">“</w:t>
      </w:r>
      <w:r>
        <w:t xml:space="preserve">approximately the same rate</w:t>
      </w:r>
      <w:r>
        <w:t xml:space="preserve">”</w:t>
      </w:r>
      <w:r>
        <w:t xml:space="preserve"> </w:t>
      </w:r>
      <w:r>
        <w:t xml:space="preserve">as traditional Search per management.</w:t>
      </w:r>
      <w:r>
        <w:t xml:space="preserve"> </w:t>
      </w:r>
      <w:r>
        <w:rPr>
          <w:b/>
        </w:rPr>
        <w:t xml:space="preserve">The Q4 2025 print rebuts the cannibalization thesis empirically: Search &amp; other grew 17% YoY to $63.1B.</w:t>
      </w:r>
    </w:p>
    <w:p>
      <w:pPr>
        <w:pStyle w:val="Heading3"/>
      </w:pPr>
      <w:bookmarkStart w:id="30" w:name="supply-limited-with-3.4-backlog-coverage"/>
      <w:r>
        <w:t xml:space="preserve">Supply-limited, with 3.4× backlog coverage</w:t>
      </w:r>
      <w:bookmarkEnd w:id="30"/>
    </w:p>
    <w:p>
      <w:pPr>
        <w:pStyle w:val="FirstParagraph"/>
      </w:pPr>
      <w:r>
        <w:t xml:space="preserve">Cloud is a supply-limited growth engine. Backlog grew from</w:t>
      </w:r>
      <w:r>
        <w:t xml:space="preserve"> </w:t>
      </w:r>
      <w:r>
        <w:rPr>
          <w:b/>
        </w:rPr>
        <w:t xml:space="preserve">$155B in Q3 to $240B at Q4 2025</w:t>
      </w:r>
      <w:r>
        <w:t xml:space="preserve">. Cloud revenue grew 48% YoY to $17.7B. Management</w:t>
      </w:r>
      <w:r>
        <w:t xml:space="preserve"> </w:t>
      </w:r>
      <w:r>
        <w:t xml:space="preserve">“</w:t>
      </w:r>
      <w:r>
        <w:t xml:space="preserve">still expect[s] to remain in a tight demand/supply environment in Q4 and 2026.</w:t>
      </w:r>
      <w:r>
        <w:t xml:space="preserve">”</w:t>
      </w:r>
      <w:r>
        <w:t xml:space="preserve"> </w:t>
      </w:r>
      <w:r>
        <w:t xml:space="preserve">Backlog coverage of approximately</w:t>
      </w:r>
      <w:r>
        <w:t xml:space="preserve"> </w:t>
      </w:r>
      <w:r>
        <w:rPr>
          <w:b/>
        </w:rPr>
        <w:t xml:space="preserve">3.4× 2025 Cloud revenue</w:t>
      </w:r>
      <w:r>
        <w:t xml:space="preserve"> </w:t>
      </w:r>
      <w:r>
        <w:t xml:space="preserve">underwrites the 40% 2026 growth assumption without a separate demand call. Operating margin stepped to 30.7% in 2025 from 14.1% in 2024, and should dip to roughly 26% in 2026 on new-capacity D&amp;A before re-expanding.</w:t>
      </w:r>
    </w:p>
    <w:p>
      <w:pPr>
        <w:pStyle w:val="Heading3"/>
      </w:pPr>
      <w:bookmarkStart w:id="31" w:name="Xbcb1b7d7ad25779c190b4fe24380ed77fa1b16c"/>
      <w:r>
        <w:t xml:space="preserve">Inference creates a structural floor, not a cliff</w:t>
      </w:r>
      <w:bookmarkEnd w:id="31"/>
    </w:p>
    <w:p>
      <w:pPr>
        <w:pStyle w:val="FirstParagraph"/>
      </w:pPr>
      <w:r>
        <w:t xml:space="preserve">AI inference raises cost per query, derived from segment margin disclosures. This creates a structural floor slightly below the pre-AI Services margin, independent of the near-term D&amp;A drag. The knob it moves is the Services operating margin:</w:t>
      </w:r>
      <w:r>
        <w:t xml:space="preserve"> </w:t>
      </w:r>
      <w:r>
        <w:rPr>
          <w:b/>
        </w:rPr>
        <w:t xml:space="preserve">steady state at approximately 38%, below the 40.7% 2025A peak</w:t>
      </w:r>
      <w:r>
        <w:t xml:space="preserve">. The gap between the peak and the steady-state assumption is the entire question of whether AI leaves Alphabet structurally worse off, and the answer is</w:t>
      </w:r>
      <w:r>
        <w:t xml:space="preserve"> </w:t>
      </w:r>
      <w:r>
        <w:t xml:space="preserve">“</w:t>
      </w:r>
      <w:r>
        <w:t xml:space="preserve">modestly worse, not cliff.</w:t>
      </w:r>
      <w:r>
        <w:t xml:space="preserve">”</w:t>
      </w:r>
    </w:p>
    <w:p>
      <w:pPr>
        <w:pStyle w:val="Heading3"/>
      </w:pPr>
      <w:bookmarkStart w:id="32" w:name="X3ae8a6c76c30cd4e1dbe0621dbc5f07bd86b4d5"/>
      <w:r>
        <w:t xml:space="preserve">Roughly half of 2026 ML compute is tagged to Cloud</w:t>
      </w:r>
      <w:bookmarkEnd w:id="32"/>
    </w:p>
    <w:p>
      <w:pPr>
        <w:pStyle w:val="FirstParagraph"/>
      </w:pPr>
      <w:r>
        <w:t xml:space="preserve">Half of 2026 ML compute is allocated to Cloud, per management. This matters for segment margin optics because Cloud revenue partly funds the D&amp;A burden that would otherwise land entirely in Services. The forecast allocates the CapEx pulse</w:t>
      </w:r>
      <w:r>
        <w:t xml:space="preserve"> </w:t>
      </w:r>
      <w:r>
        <w:rPr>
          <w:b/>
        </w:rPr>
        <w:t xml:space="preserve">to the revenue engine it supports</w:t>
      </w:r>
      <w:r>
        <w:t xml:space="preserve">, rather than treating it as a Services-side overhead. Without this allocation, Services margins look worse and Cloud margins look better than the underlying business mechanics suggest.</w:t>
      </w:r>
    </w:p>
    <w:p>
      <w:pPr>
        <w:pStyle w:val="Heading3"/>
      </w:pPr>
      <w:bookmarkStart w:id="33" w:name="Xd24c447b2c63781a265345337d15f19d9f37162"/>
      <w:r>
        <w:t xml:space="preserve">Distribution advantages AI does not disturb</w:t>
      </w:r>
      <w:bookmarkEnd w:id="33"/>
    </w:p>
    <w:p>
      <w:pPr>
        <w:pStyle w:val="FirstParagraph"/>
      </w:pPr>
      <w:r>
        <w:t xml:space="preserve">Android, Chrome, and Search default agreements continue to anchor query share at the entry points where AI matters most. AI is changing what happens</w:t>
      </w:r>
      <w:r>
        <w:t xml:space="preserve"> </w:t>
      </w:r>
      <w:r>
        <w:rPr>
          <w:i/>
        </w:rPr>
        <w:t xml:space="preserve">after</w:t>
      </w:r>
      <w:r>
        <w:t xml:space="preserve"> </w:t>
      </w:r>
      <w:r>
        <w:t xml:space="preserve">a query, not</w:t>
      </w:r>
      <w:r>
        <w:t xml:space="preserve"> </w:t>
      </w:r>
      <w:r>
        <w:rPr>
          <w:i/>
        </w:rPr>
        <w:t xml:space="preserve">whether</w:t>
      </w:r>
      <w:r>
        <w:t xml:space="preserve"> </w:t>
      </w:r>
      <w:r>
        <w:t xml:space="preserve">the query reaches Google. The distribution advantage is the reason the cannibalization thesis is structurally weaker than it is for pure-search competitors that lack default-placement economics.</w:t>
      </w:r>
    </w:p>
    <w:p>
      <w:pPr>
        <w:pStyle w:val="Heading2"/>
      </w:pPr>
      <w:bookmarkStart w:id="34" w:name="capital-cycle"/>
      <w:r>
        <w:t xml:space="preserve">Capital Cycle</w:t>
      </w:r>
      <w:bookmarkEnd w:id="34"/>
    </w:p>
    <w:p>
      <w:pPr>
        <w:pStyle w:val="FirstParagraph"/>
      </w:pPr>
      <w:r>
        <w:rPr>
          <w:b/>
        </w:rPr>
        <w:t xml:space="preserve">The 2026 FCF trough is timing, not terminal</w:t>
      </w:r>
    </w:p>
    <w:p>
      <w:pPr>
        <w:pStyle w:val="BodyText"/>
      </w:pPr>
      <w:r>
        <w:t xml:space="preserve">The hardest valuation fact in the case is the 2026 FCF trough. With 2026 CapEx at the $180B guidance midpoint and D&amp;A</w:t>
      </w:r>
      <w:r>
        <w:t xml:space="preserve"> </w:t>
      </w:r>
      <w:r>
        <w:t xml:space="preserve">“</w:t>
      </w:r>
      <w:r>
        <w:t xml:space="preserve">meaningfully increasing,</w:t>
      </w:r>
      <w:r>
        <w:t xml:space="preserve">”</w:t>
      </w:r>
      <w:r>
        <w:t xml:space="preserve"> </w:t>
      </w:r>
      <w:r>
        <w:t xml:space="preserve">the proxy FCF drops from $73B in 2025 toward zero in 2026. CapEx plateaus near $190B through 2027 and 2028, revenue outgrows D&amp;A, and the FCF proxy recovers toward $50B by 2028. The capital-cycle compression is real, but it is timing.</w:t>
      </w:r>
    </w:p>
    <w:p>
      <w:pPr>
        <w:pStyle w:val="BodyText"/>
      </w:pPr>
      <w:r>
        <w:t xml:space="preserve">2025 Proxy FCF</w:t>
      </w:r>
    </w:p>
    <w:p>
      <w:pPr>
        <w:pStyle w:val="BodyText"/>
      </w:pPr>
      <w:r>
        <w:t xml:space="preserve">~$73B</w:t>
      </w:r>
    </w:p>
    <w:p>
      <w:pPr>
        <w:pStyle w:val="BodyText"/>
      </w:pPr>
      <w:r>
        <w:t xml:space="preserve">Pre-pulse baseline. Built from segment margins, consolidated CapEx, and D&amp;A using a standard NOPAT-based FCF construction.</w:t>
      </w:r>
    </w:p>
    <w:p>
      <w:pPr>
        <w:pStyle w:val="BodyText"/>
      </w:pPr>
      <w:r>
        <w:t xml:space="preserve">2026 Proxy FCF (Trough Year)</w:t>
      </w:r>
    </w:p>
    <w:p>
      <w:pPr>
        <w:pStyle w:val="BodyText"/>
      </w:pPr>
      <w:r>
        <w:t xml:space="preserve">~$0B</w:t>
      </w:r>
    </w:p>
    <w:p>
      <w:pPr>
        <w:pStyle w:val="BodyText"/>
      </w:pPr>
      <w:r>
        <w:rPr>
          <w:b/>
        </w:rPr>
        <w:t xml:space="preserve">$180B CapEx midpoint</w:t>
      </w:r>
      <w:r>
        <w:t xml:space="preserve"> </w:t>
      </w:r>
      <w:r>
        <w:t xml:space="preserve">+ meaningfully higher D&amp;A. Capital-cycle compression, not structural deterioration.</w:t>
      </w:r>
    </w:p>
    <w:p>
      <w:pPr>
        <w:pStyle w:val="BodyText"/>
      </w:pPr>
      <w:r>
        <w:t xml:space="preserve">CapEx Plateau (2027 to 2028)</w:t>
      </w:r>
    </w:p>
    <w:p>
      <w:pPr>
        <w:pStyle w:val="BodyText"/>
      </w:pPr>
      <w:r>
        <w:t xml:space="preserve">~$190B</w:t>
      </w:r>
    </w:p>
    <w:p>
      <w:pPr>
        <w:pStyle w:val="BodyText"/>
      </w:pPr>
      <w:r>
        <w:t xml:space="preserve">Approximately flat. Revenue outgrows D&amp;A as backlog converts into Cloud revenue and Search demand expands.</w:t>
      </w:r>
    </w:p>
    <w:p>
      <w:pPr>
        <w:pStyle w:val="BodyText"/>
      </w:pPr>
      <w:r>
        <w:t xml:space="preserve">2028 Proxy FCF (Recovery)</w:t>
      </w:r>
    </w:p>
    <w:p>
      <w:pPr>
        <w:pStyle w:val="BodyText"/>
      </w:pPr>
      <w:r>
        <w:t xml:space="preserve">~$50B</w:t>
      </w:r>
    </w:p>
    <w:p>
      <w:pPr>
        <w:pStyle w:val="BodyText"/>
      </w:pPr>
      <w:r>
        <w:t xml:space="preserve">Recovery, not return-to-peak. Steady-state CapEx/revenue settles near 15% on the continuing-value glide path.</w:t>
      </w:r>
    </w:p>
    <w:p>
      <w:pPr>
        <w:pStyle w:val="Heading2"/>
      </w:pPr>
      <w:bookmarkStart w:id="35" w:name="what-would-change-our-view"/>
      <w:r>
        <w:t xml:space="preserve">What Would Change Our View</w:t>
      </w:r>
      <w:bookmarkEnd w:id="35"/>
    </w:p>
    <w:p>
      <w:pPr>
        <w:pStyle w:val="FirstParagraph"/>
      </w:pPr>
      <w:r>
        <w:rPr>
          <w:b/>
        </w:rPr>
        <w:t xml:space="preserve">The two or three most valuation-sensitive assumptions</w:t>
      </w:r>
    </w:p>
    <w:p>
      <w:pPr>
        <w:pStyle w:val="BodyText"/>
      </w:pPr>
      <w:r>
        <w:t xml:space="preserve">If any of the following move materially, the recommendation gets revisited. Each is a specific, observable disclosure event tied to a particular line in a quarterly filing, not a qualitative shift in narrative.</w:t>
      </w:r>
    </w:p>
    <w:p>
      <w:pPr>
        <w:pStyle w:val="BodyText"/>
      </w:pPr>
      <w:r>
        <w:t xml:space="preserve">Sensitivity 01</w:t>
      </w:r>
    </w:p>
    <w:p>
      <w:pPr>
        <w:pStyle w:val="BodyText"/>
      </w:pPr>
      <w:r>
        <w:rPr>
          <w:b/>
        </w:rPr>
        <w:t xml:space="preserve">2026 CapEx at $180B</w:t>
      </w:r>
    </w:p>
    <w:p>
      <w:pPr>
        <w:pStyle w:val="BodyText"/>
      </w:pPr>
      <w:r>
        <w:t xml:space="preserve">Sets near-term FCF and the 2026 to 2028 D&amp;A path.</w:t>
      </w:r>
      <w:r>
        <w:t xml:space="preserve"> </w:t>
      </w:r>
      <w:r>
        <w:rPr>
          <w:b/>
        </w:rPr>
        <w:t xml:space="preserve">A $20B upward revision</w:t>
      </w:r>
      <w:r>
        <w:t xml:space="preserve"> </w:t>
      </w:r>
      <w:r>
        <w:t xml:space="preserve">would push the 2026 FCF proxy meaningfully negative and delay recovery by a year. The most directly observable variable in the case.</w:t>
      </w:r>
    </w:p>
    <w:p>
      <w:pPr>
        <w:pStyle w:val="BodyText"/>
      </w:pPr>
      <w:r>
        <w:t xml:space="preserve">Sensitivity 02</w:t>
      </w:r>
    </w:p>
    <w:p>
      <w:pPr>
        <w:pStyle w:val="BodyText"/>
      </w:pPr>
      <w:r>
        <w:rPr>
          <w:b/>
        </w:rPr>
        <w:t xml:space="preserve">Services operating margin floor near 38%</w:t>
      </w:r>
    </w:p>
    <w:p>
      <w:pPr>
        <w:pStyle w:val="BodyText"/>
      </w:pPr>
      <w:r>
        <w:t xml:space="preserve">The Services margin floor is an inference from segment disclosures, not a directly disclosed number. The gap between the</w:t>
      </w:r>
      <w:r>
        <w:t xml:space="preserve"> </w:t>
      </w:r>
      <w:r>
        <w:rPr>
          <w:b/>
        </w:rPr>
        <w:t xml:space="preserve">40.7% 2025 peak</w:t>
      </w:r>
      <w:r>
        <w:t xml:space="preserve"> </w:t>
      </w:r>
      <w:r>
        <w:t xml:space="preserve">and the steady-state assumption is the entire question of whether AI leaves Alphabet structurally worse off. Watch for explicit segment disclosure of inference compute cost.</w:t>
      </w:r>
    </w:p>
    <w:p>
      <w:pPr>
        <w:pStyle w:val="BodyText"/>
      </w:pPr>
      <w:r>
        <w:t xml:space="preserve">Sensitivity 03</w:t>
      </w:r>
    </w:p>
    <w:p>
      <w:pPr>
        <w:pStyle w:val="BodyText"/>
      </w:pPr>
      <w:r>
        <w:rPr>
          <w:b/>
        </w:rPr>
        <w:t xml:space="preserve">Cloud growth durability after 2026</w:t>
      </w:r>
    </w:p>
    <w:p>
      <w:pPr>
        <w:pStyle w:val="BodyText"/>
      </w:pPr>
      <w:r>
        <w:t xml:space="preserve">The 40 / 35 / 30% 2026 to 2028 path is defensible on today’s backlog but assumes</w:t>
      </w:r>
      <w:r>
        <w:t xml:space="preserve"> </w:t>
      </w:r>
      <w:r>
        <w:rPr>
          <w:b/>
        </w:rPr>
        <w:t xml:space="preserve">backlog rebuilds as current contracts convert</w:t>
      </w:r>
      <w:r>
        <w:t xml:space="preserve">. A broader AI-capex pullback in 2027 (driven by hyperscaler peer behavior) would mis-size this line.</w:t>
      </w:r>
    </w:p>
    <w:p>
      <w:pPr>
        <w:pStyle w:val="Heading2"/>
      </w:pPr>
      <w:bookmarkStart w:id="36" w:name="continuing-value"/>
      <w:r>
        <w:t xml:space="preserve">Continuing Value</w:t>
      </w:r>
      <w:bookmarkEnd w:id="36"/>
    </w:p>
    <w:p>
      <w:pPr>
        <w:pStyle w:val="FirstParagraph"/>
      </w:pPr>
      <w:r>
        <w:rPr>
          <w:b/>
        </w:rPr>
        <w:t xml:space="preserve">Does AI raise or lower continuing value?</w:t>
      </w:r>
    </w:p>
    <w:p>
      <w:pPr>
        <w:pStyle w:val="BodyText"/>
      </w:pPr>
      <w:r>
        <w:t xml:space="preserve">We set</w:t>
      </w:r>
      <w:r>
        <w:t xml:space="preserve"> </w:t>
      </w:r>
      <w:r>
        <w:rPr>
          <w:b/>
        </w:rPr>
        <w:t xml:space="preserve">mature-state growth at 3%</w:t>
      </w:r>
      <w:r>
        <w:t xml:space="preserve">, blended operating margin at approximately</w:t>
      </w:r>
      <w:r>
        <w:t xml:space="preserve"> </w:t>
      </w:r>
      <w:r>
        <w:rPr>
          <w:b/>
        </w:rPr>
        <w:t xml:space="preserve">33%</w:t>
      </w:r>
      <w:r>
        <w:t xml:space="preserve">, and CapEx/revenue at approximately</w:t>
      </w:r>
      <w:r>
        <w:t xml:space="preserve"> </w:t>
      </w:r>
      <w:r>
        <w:rPr>
          <w:b/>
        </w:rPr>
        <w:t xml:space="preserve">15%</w:t>
      </w:r>
      <w:r>
        <w:t xml:space="preserve">. AI raises continuing value through (a) a permanently larger monetizable query set (volume uplift and Gemini-enabled long-query monetization), (b) a Cloud segment that is now a credible earnings contributor rather than a growth option, and (c) distribution advantages (Android, Chrome, Search default agreements) that AI does not disturb. AI lowers continuing value through a permanently higher cost floor per query.</w:t>
      </w:r>
      <w:r>
        <w:t xml:space="preserve"> </w:t>
      </w:r>
      <w:r>
        <w:rPr>
          <w:b/>
        </w:rPr>
        <w:t xml:space="preserve">In our base case, the volume and Cloud tailwinds dominate the cost headwind.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Continuing-Value Assumption</w:t>
            </w:r>
          </w:p>
        </w:tc>
        <w:tc>
          <w:tcPr>
            <w:tcBorders>
              <w:bottom w:val="single"/>
            </w:tcBorders>
            <w:vAlign w:val="bottom"/>
          </w:tcPr>
          <w:p>
            <w:pPr>
              <w:pStyle w:val="Compact"/>
              <w:jc w:val="left"/>
            </w:pPr>
            <w:r>
              <w:t xml:space="preserve">Mature State</w:t>
            </w:r>
          </w:p>
        </w:tc>
        <w:tc>
          <w:tcPr>
            <w:tcBorders>
              <w:bottom w:val="single"/>
            </w:tcBorders>
            <w:vAlign w:val="bottom"/>
          </w:tcPr>
          <w:p>
            <w:pPr>
              <w:pStyle w:val="Compact"/>
              <w:jc w:val="left"/>
            </w:pPr>
            <w:r>
              <w:t xml:space="preserve">Direction vs. 2025A</w:t>
            </w:r>
          </w:p>
        </w:tc>
      </w:tr>
      <w:tr>
        <w:tc>
          <w:p>
            <w:pPr>
              <w:pStyle w:val="Compact"/>
              <w:jc w:val="left"/>
            </w:pPr>
            <w:r>
              <w:t xml:space="preserve">Revenue growth (g)</w:t>
            </w:r>
          </w:p>
        </w:tc>
        <w:tc>
          <w:p>
            <w:pPr>
              <w:pStyle w:val="Compact"/>
              <w:jc w:val="left"/>
            </w:pPr>
            <w:r>
              <w:t xml:space="preserve">3%</w:t>
            </w:r>
          </w:p>
        </w:tc>
        <w:tc>
          <w:p>
            <w:pPr>
              <w:pStyle w:val="Compact"/>
              <w:jc w:val="left"/>
            </w:pPr>
            <w:r>
              <w:t xml:space="preserve">Below 2025 consolidated growth; reflects mix and law-of-large-numbers</w:t>
            </w:r>
          </w:p>
        </w:tc>
      </w:tr>
      <w:tr>
        <w:tc>
          <w:p>
            <w:pPr>
              <w:pStyle w:val="Compact"/>
              <w:jc w:val="left"/>
            </w:pPr>
            <w:r>
              <w:t xml:space="preserve">Blended operating margin</w:t>
            </w:r>
          </w:p>
        </w:tc>
        <w:tc>
          <w:p>
            <w:pPr>
              <w:pStyle w:val="Compact"/>
              <w:jc w:val="left"/>
            </w:pPr>
            <w:r>
              <w:t xml:space="preserve">~33%</w:t>
            </w:r>
          </w:p>
        </w:tc>
        <w:tc>
          <w:p>
            <w:pPr>
              <w:pStyle w:val="Compact"/>
              <w:jc w:val="left"/>
            </w:pPr>
            <w:r>
              <w:t xml:space="preserve">Below 2025 consolidated margin; reflects Services floor + Cloud equilibrium</w:t>
            </w:r>
          </w:p>
        </w:tc>
      </w:tr>
      <w:tr>
        <w:tc>
          <w:p>
            <w:pPr>
              <w:pStyle w:val="Compact"/>
              <w:jc w:val="left"/>
            </w:pPr>
            <w:r>
              <w:t xml:space="preserve">CapEx / revenue</w:t>
            </w:r>
          </w:p>
        </w:tc>
        <w:tc>
          <w:p>
            <w:pPr>
              <w:pStyle w:val="Compact"/>
              <w:jc w:val="left"/>
            </w:pPr>
            <w:r>
              <w:t xml:space="preserve">~15%</w:t>
            </w:r>
          </w:p>
        </w:tc>
        <w:tc>
          <w:p>
            <w:pPr>
              <w:pStyle w:val="Compact"/>
              <w:jc w:val="left"/>
            </w:pPr>
            <w:r>
              <w:t xml:space="preserve">Down from 2026 peak intensity; up from pre-AI baseline</w:t>
            </w:r>
          </w:p>
        </w:tc>
      </w:tr>
      <w:tr>
        <w:tc>
          <w:p>
            <w:pPr>
              <w:pStyle w:val="Compact"/>
              <w:jc w:val="left"/>
            </w:pPr>
            <w:r>
              <w:t xml:space="preserve">Effective tax rate</w:t>
            </w:r>
          </w:p>
        </w:tc>
        <w:tc>
          <w:p>
            <w:pPr>
              <w:pStyle w:val="Compact"/>
              <w:jc w:val="left"/>
            </w:pPr>
            <w:r>
              <w:t xml:space="preserve">17%</w:t>
            </w:r>
          </w:p>
        </w:tc>
        <w:tc>
          <w:p>
            <w:pPr>
              <w:pStyle w:val="Compact"/>
              <w:jc w:val="left"/>
            </w:pPr>
            <w:r>
              <w:t xml:space="preserve">Consistent with 16.4% (2024) and 16.8% (2025)</w:t>
            </w:r>
          </w:p>
        </w:tc>
      </w:tr>
    </w:tbl>
    <w:p>
      <w:pPr>
        <w:pStyle w:val="Heading2"/>
      </w:pPr>
      <w:bookmarkStart w:id="37" w:name="recommendation"/>
      <w:r>
        <w:t xml:space="preserve">Recommendation</w:t>
      </w:r>
      <w:bookmarkEnd w:id="37"/>
    </w:p>
    <w:p>
      <w:pPr>
        <w:pStyle w:val="FirstParagraph"/>
      </w:pPr>
      <w:r>
        <w:rPr>
          <w:b/>
        </w:rPr>
        <w:t xml:space="preserve">Maintain Position</w:t>
      </w:r>
    </w:p>
    <w:p>
      <w:pPr>
        <w:pStyle w:val="BodyText"/>
      </w:pPr>
      <w:r>
        <w:t xml:space="preserve">Net Call</w:t>
      </w:r>
    </w:p>
    <w:p>
      <w:pPr>
        <w:pStyle w:val="Heading3"/>
      </w:pPr>
      <w:bookmarkStart w:id="38" w:name="X582943b784eec16f24a3e526e4aefc12b0159e0"/>
      <w:r>
        <w:t xml:space="preserve">AI raises Alphabet’s continuing value, modestly. The 2026 entry point will look worse than fair value.</w:t>
      </w:r>
      <w:bookmarkEnd w:id="38"/>
    </w:p>
    <w:p>
      <w:pPr>
        <w:pStyle w:val="FirstParagraph"/>
      </w:pPr>
      <w:r>
        <w:t xml:space="preserve">The defensive-innovation reading dominates the self-cannibalization reading.</w:t>
      </w:r>
      <w:r>
        <w:t xml:space="preserve"> </w:t>
      </w:r>
      <w:r>
        <w:rPr>
          <w:b/>
        </w:rPr>
        <w:t xml:space="preserve">Search monetization is holding up</w:t>
      </w:r>
      <w:r>
        <w:t xml:space="preserve">, and Cloud’s AI-driven growth arrives before most of the new CapEx turns into depreciation. The 2026 FCF trough will suppress optics in real time, which, if the monetization thesis holds, is the opportunity rather than the risk.</w:t>
      </w:r>
    </w:p>
    <w:p>
      <w:pPr>
        <w:pStyle w:val="BodyText"/>
      </w:pPr>
      <w:r>
        <w:rPr>
          <w:b/>
        </w:rPr>
        <w:t xml:space="preserve">What anchors the call:</w:t>
      </w:r>
      <w:r>
        <w:t xml:space="preserve"> </w:t>
      </w:r>
      <w:r>
        <w:t xml:space="preserve">the empirical Q4 2025 Search &amp; other print of +17% YoY to $63.1B; AI Overviews monetizing</w:t>
      </w:r>
      <w:r>
        <w:t xml:space="preserve"> </w:t>
      </w:r>
      <w:r>
        <w:t xml:space="preserve">“</w:t>
      </w:r>
      <w:r>
        <w:t xml:space="preserve">at approximately the same rate</w:t>
      </w:r>
      <w:r>
        <w:t xml:space="preserve">”</w:t>
      </w:r>
      <w:r>
        <w:t xml:space="preserve"> </w:t>
      </w:r>
      <w:r>
        <w:t xml:space="preserve">as traditional Search; $240B Cloud backlog covering ~3.4× 2025 revenue; the 14.1% to 30.7% Cloud margin step that demonstrates utilization absorption mechanics.</w:t>
      </w:r>
    </w:p>
    <w:p>
      <w:pPr>
        <w:pStyle w:val="BodyText"/>
      </w:pPr>
      <w:r>
        <w:rPr>
          <w:b/>
        </w:rPr>
        <w:t xml:space="preserve">What would reset the call:</w:t>
      </w:r>
      <w:r>
        <w:t xml:space="preserve"> </w:t>
      </w:r>
      <w:r>
        <w:t xml:space="preserve">$20B+ upward revision to 2026 CapEx, explicit disclosure of compressed Services segment margins driven by inference cost, or a broader AI-capex pullback in 2027 that mis-sizes the Cloud growth assumption.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2026-05-16T15:39:47Z</dcterms:created>
  <dcterms:modified xsi:type="dcterms:W3CDTF">2026-05-16T15:39:47Z</dcterms:modified>
</cp:coreProperties>
</file>

<file path=docProps/custom.xml><?xml version="1.0" encoding="utf-8"?>
<Properties xmlns="http://schemas.openxmlformats.org/officeDocument/2006/custom-properties" xmlns:vt="http://schemas.openxmlformats.org/officeDocument/2006/docPropsVTypes"/>
</file>