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oracle-trades-at-2x-fair-value."/>
      <w:r>
        <w:t xml:space="preserve">Oracle trades at 2x fair value.</w:t>
      </w:r>
      <w:bookmarkEnd w:id="20"/>
    </w:p>
    <w:p>
      <w:pPr>
        <w:pStyle w:val="FirstParagraph"/>
      </w:pPr>
      <w:r>
        <w:rPr>
          <w:b/>
        </w:rPr>
        <w:t xml:space="preserve">Investment Committee Memo</w:t>
      </w:r>
      <w:r>
        <w:t xml:space="preserve"> </w:t>
      </w:r>
      <w:r>
        <w:t xml:space="preserve">- Oracle Corporation (NYSE: ORCL) · AI Infrastructure Diligence</w:t>
      </w:r>
    </w:p>
    <w:p>
      <w:pPr>
        <w:pStyle w:val="BodyText"/>
      </w:pPr>
      <w:r>
        <w:t xml:space="preserve">A two-scenario DCF modeling Oracle’s $455B AI backlog against GPU economic obsolescence and customer concentration risk across NVIDIA, AMD, and OpenAI. Memo recommends Strong Underweight / Sell with new normal fair value of $75 per share. Includes derivative implementation overlay and SAP / Workday pair trade.</w:t>
      </w:r>
    </w:p>
    <w:p>
      <w:pPr>
        <w:pStyle w:val="BodyText"/>
      </w:pPr>
      <w:r>
        <w:rPr>
          <w:b/>
        </w:rPr>
        <w:t xml:space="preserve">Highlights</w:t>
      </w:r>
    </w:p>
    <w:p>
      <w:pPr>
        <w:numPr>
          <w:ilvl w:val="0"/>
          <w:numId w:val="1001"/>
        </w:numPr>
        <w:pStyle w:val="Compact"/>
      </w:pPr>
      <w:r>
        <w:rPr>
          <w:b/>
        </w:rPr>
        <w:t xml:space="preserve">$75</w:t>
      </w:r>
      <w:r>
        <w:t xml:space="preserve"> </w:t>
      </w:r>
      <w:r>
        <w:t xml:space="preserve">– New Normal Fair Value</w:t>
      </w:r>
    </w:p>
    <w:p>
      <w:pPr>
        <w:numPr>
          <w:ilvl w:val="0"/>
          <w:numId w:val="1001"/>
        </w:numPr>
        <w:pStyle w:val="Compact"/>
      </w:pPr>
      <w:r>
        <w:rPr>
          <w:b/>
        </w:rPr>
        <w:t xml:space="preserve">~55%</w:t>
      </w:r>
      <w:r>
        <w:t xml:space="preserve"> </w:t>
      </w:r>
      <w:r>
        <w:t xml:space="preserve">– Implied Downside</w:t>
      </w:r>
    </w:p>
    <w:p>
      <w:pPr>
        <w:numPr>
          <w:ilvl w:val="0"/>
          <w:numId w:val="1001"/>
        </w:numPr>
        <w:pStyle w:val="Compact"/>
      </w:pPr>
      <w:r>
        <w:rPr>
          <w:b/>
        </w:rPr>
        <w:t xml:space="preserve">$455B</w:t>
      </w:r>
      <w:r>
        <w:t xml:space="preserve"> </w:t>
      </w:r>
      <w:r>
        <w:t xml:space="preserve">– RPO Analyzed</w:t>
      </w:r>
    </w:p>
    <w:p>
      <w:pPr>
        <w:numPr>
          <w:ilvl w:val="0"/>
          <w:numId w:val="1001"/>
        </w:numPr>
        <w:pStyle w:val="Compact"/>
      </w:pPr>
      <w:r>
        <w:rPr>
          <w:b/>
        </w:rPr>
        <w:t xml:space="preserve">4 Pillars</w:t>
      </w:r>
      <w:r>
        <w:t xml:space="preserve"> </w:t>
      </w:r>
      <w:r>
        <w:t xml:space="preserve">– Evidence Base</w:t>
      </w:r>
    </w:p>
    <w:p>
      <w:r>
        <w:pict>
          <v:rect style="width:0;height:1.5pt" o:hralign="center" o:hrstd="t" o:hr="t"/>
        </w:pict>
      </w:r>
    </w:p>
    <w:p>
      <w:pPr>
        <w:pStyle w:val="Heading2"/>
      </w:pPr>
      <w:bookmarkStart w:id="21" w:name="bottom-line"/>
      <w:r>
        <w:t xml:space="preserve">Bottom Line</w:t>
      </w:r>
      <w:bookmarkEnd w:id="21"/>
    </w:p>
    <w:p>
      <w:pPr>
        <w:pStyle w:val="FirstParagraph"/>
      </w:pPr>
      <w:r>
        <w:rPr>
          <w:b/>
        </w:rPr>
        <w:t xml:space="preserve">A real backlog. The wrong cost base.</w:t>
      </w:r>
    </w:p>
    <w:p>
      <w:pPr>
        <w:pStyle w:val="BodyText"/>
      </w:pPr>
      <w:r>
        <w:t xml:space="preserve">Oracle has become the most aggressive narrative beneficiary of the AI infrastructure build cycle. Its reported revenue backlog grew</w:t>
      </w:r>
      <w:r>
        <w:t xml:space="preserve"> </w:t>
      </w:r>
      <w:r>
        <w:rPr>
          <w:b/>
        </w:rPr>
        <w:t xml:space="preserve">250% to $455.3B</w:t>
      </w:r>
      <w:r>
        <w:t xml:space="preserve"> </w:t>
      </w:r>
      <w:r>
        <w:t xml:space="preserve">in six months, anchored by a small number of named hyperscaler and AI-lab contracts. At $164.52 per share, the market is pricing this backlog as if it were durable, diversified, and self-financing. This memo argues it is not. The demand is</w:t>
      </w:r>
      <w:r>
        <w:t xml:space="preserve"> </w:t>
      </w:r>
      <w:r>
        <w:rPr>
          <w:b/>
        </w:rPr>
        <w:t xml:space="preserve">concentrated, longer-dated, and entangled with incentive economics</w:t>
      </w:r>
      <w:r>
        <w:t xml:space="preserve"> </w:t>
      </w:r>
      <w:r>
        <w:t xml:space="preserve">across NVIDIA, AMD, and OpenAI. The cost base is also structurally heavier than reported financials suggest: Oracle’s GPU hardware empirically refreshes every</w:t>
      </w:r>
      <w:r>
        <w:t xml:space="preserve"> </w:t>
      </w:r>
      <w:r>
        <w:rPr>
          <w:b/>
        </w:rPr>
        <w:t xml:space="preserve">3 to 4 years</w:t>
      </w:r>
      <w:r>
        <w:t xml:space="preserve">, but Oracle (like Microsoft, Google, and Meta) has been extending the accounting useful life of that same hardware to 6 years, flattering reported margins precisely as the empirical refresh cycle has compressed. A two-scenario discounted cash flow analysis brackets the answer. The conventional view (consensus assumptions) supports</w:t>
      </w:r>
      <w:r>
        <w:t xml:space="preserve"> </w:t>
      </w:r>
      <w:r>
        <w:rPr>
          <w:b/>
        </w:rPr>
        <w:t xml:space="preserve">$192 per share</w:t>
      </w:r>
      <w:r>
        <w:t xml:space="preserve">. The new normal view (preferred), with capex permanently elevated to fund GPU refresh, produces</w:t>
      </w:r>
      <w:r>
        <w:t xml:space="preserve"> </w:t>
      </w:r>
      <w:r>
        <w:rPr>
          <w:b/>
        </w:rPr>
        <w:t xml:space="preserve">$75 per share, ~55% downside</w:t>
      </w:r>
      <w:r>
        <w:t xml:space="preserve">.</w:t>
      </w:r>
      <w:r>
        <w:t xml:space="preserve"> </w:t>
      </w:r>
      <w:r>
        <w:rPr>
          <w:b/>
        </w:rPr>
        <w:t xml:space="preserve">Recommendation: Strong Underweight / Sell.</w:t>
      </w:r>
      <w:r>
        <w:t xml:space="preserve"> </w:t>
      </w:r>
      <w:r>
        <w:t xml:space="preserve">Long-only mandates trim aggressively. Derivative-enabled accounts use a $130/$85 put spread, 18 to 24 month expiry. Hedged accounts pair short Oracle with long SAP or Workday to isolate the AI-quality-of-revenue thesis from broad software beta.</w:t>
      </w:r>
    </w:p>
    <w:p>
      <w:pPr>
        <w:pStyle w:val="BodyText"/>
      </w:pPr>
      <w:r>
        <w:t xml:space="preserve">AI Infrastructure Diligence Two-Scenario DCF GPU Economic Obsolescence Customer Concentration Analysis Cross-Company Useful-Life Audit Derivatives Implementation Investment Committee Memo</w:t>
      </w:r>
    </w:p>
    <w:p>
      <w:pPr>
        <w:pStyle w:val="Heading2"/>
      </w:pPr>
      <w:bookmarkStart w:id="22" w:name="methodology-sources"/>
      <w:r>
        <w:t xml:space="preserve">Methodology &amp; Sources</w:t>
      </w:r>
      <w:bookmarkEnd w:id="22"/>
    </w:p>
    <w:p>
      <w:pPr>
        <w:pStyle w:val="FirstParagraph"/>
      </w:pPr>
      <w:r>
        <w:rPr>
          <w:b/>
        </w:rPr>
        <w:t xml:space="preserve">How the case was built</w:t>
      </w:r>
    </w:p>
    <w:p>
      <w:pPr>
        <w:pStyle w:val="BodyText"/>
      </w:pPr>
      <w:r>
        <w:t xml:space="preserve">The findings below are not management commentary repackaged. The valuation is built from public-disclosure sources read across four companies and structured so every assumption can be re-checked against the document it came from. Four methodology pillars hold the case together.</w:t>
      </w:r>
    </w:p>
    <w:p>
      <w:pPr>
        <w:pStyle w:val="BodyText"/>
      </w:pPr>
      <w:r>
        <w:t xml:space="preserve">01 · Sources</w:t>
      </w:r>
    </w:p>
    <w:p>
      <w:pPr>
        <w:pStyle w:val="BodyText"/>
      </w:pPr>
      <w:r>
        <w:rPr>
          <w:b/>
        </w:rPr>
        <w:t xml:space="preserve">Public-Disclosure Inputs</w:t>
      </w:r>
    </w:p>
    <w:p>
      <w:pPr>
        <w:pStyle w:val="BodyText"/>
      </w:pPr>
      <w:r>
        <w:t xml:space="preserve">Oracle’s most recent 10-K, three sequential 10-Q filings, and the September 2025 8-K. NVIDIA FY26 Q2 10-Q. AMD FY25 10-K and the October 2025 8-K. Microsoft FY23, Alphabet 2023, Meta 2024, and Oracle FY24 10-Ks for cross-company useful-life policy. No private data, no proprietary surveys.</w:t>
      </w:r>
    </w:p>
    <w:p>
      <w:pPr>
        <w:pStyle w:val="BodyText"/>
      </w:pPr>
      <w:r>
        <w:t xml:space="preserve">02 · Framework</w:t>
      </w:r>
    </w:p>
    <w:p>
      <w:pPr>
        <w:pStyle w:val="BodyText"/>
      </w:pPr>
      <w:r>
        <w:rPr>
          <w:b/>
        </w:rPr>
        <w:t xml:space="preserve">Two-Scenario DCF</w:t>
      </w:r>
    </w:p>
    <w:p>
      <w:pPr>
        <w:pStyle w:val="BodyText"/>
      </w:pPr>
      <w:r>
        <w:t xml:space="preserve">The valuation is bracketed by two fully specified scenarios. The conventional view applies consensus assumptions (90% revenue realization, 30% margins, capex fading to legacy baseline). The new normal view applies the four evidence pillars (80% realization, 27% margins, 15% steady-state capex, 10% WACC). Continuing value is where the scenarios diverge.</w:t>
      </w:r>
    </w:p>
    <w:p>
      <w:pPr>
        <w:pStyle w:val="BodyText"/>
      </w:pPr>
      <w:r>
        <w:t xml:space="preserve">03 · Cross-Company Audit</w:t>
      </w:r>
    </w:p>
    <w:p>
      <w:pPr>
        <w:pStyle w:val="BodyText"/>
      </w:pPr>
      <w:r>
        <w:rPr>
          <w:b/>
        </w:rPr>
        <w:t xml:space="preserve">Useful-Life &amp; GPU Refresh Cycle</w:t>
      </w:r>
    </w:p>
    <w:p>
      <w:pPr>
        <w:pStyle w:val="BodyText"/>
      </w:pPr>
      <w:r>
        <w:t xml:space="preserve">Hyperscaler peer accounting (Microsoft, Google, Meta, Oracle) read together, calibrated against the empirical 3-to-4-year GPU generation cycle (Hopper to Blackwell to Rubin). The audit surfaces an industry-wide pattern that single-company filings normalize away.</w:t>
      </w:r>
    </w:p>
    <w:p>
      <w:pPr>
        <w:pStyle w:val="BodyText"/>
      </w:pPr>
      <w:r>
        <w:t xml:space="preserve">04 · System View</w:t>
      </w:r>
    </w:p>
    <w:p>
      <w:pPr>
        <w:pStyle w:val="BodyText"/>
      </w:pPr>
      <w:r>
        <w:rPr>
          <w:b/>
        </w:rPr>
        <w:t xml:space="preserve">Customer Concentration Mapping</w:t>
      </w:r>
    </w:p>
    <w:p>
      <w:pPr>
        <w:pStyle w:val="BodyText"/>
      </w:pPr>
      <w:r>
        <w:t xml:space="preserve">Oracle, NVIDIA, AMD, and OpenAI mapped as a single AI infrastructure system. Customer concentration, accounts receivable concentration, future purchase commitments, and warrant economics tracked across all four names so single-name fundamentals cannot hide the correlated counterparty risk.</w:t>
      </w:r>
    </w:p>
    <w:p>
      <w:pPr>
        <w:pStyle w:val="Heading2"/>
      </w:pPr>
      <w:bookmarkStart w:id="23" w:name="the-situation"/>
      <w:r>
        <w:t xml:space="preserve">The Situation</w:t>
      </w:r>
      <w:bookmarkEnd w:id="23"/>
    </w:p>
    <w:p>
      <w:pPr>
        <w:pStyle w:val="FirstParagraph"/>
      </w:pPr>
      <w:r>
        <w:rPr>
          <w:b/>
        </w:rPr>
        <w:t xml:space="preserve">Why Oracle, why now</w:t>
      </w:r>
    </w:p>
    <w:p>
      <w:pPr>
        <w:pStyle w:val="BodyText"/>
      </w:pPr>
      <w:r>
        <w:t xml:space="preserve">Oracle has become the most aggressive narrative beneficiary of the AI infrastructure build cycle. Between February and August 2025, Oracle’s Remaining Performance Obligation (RPO) grew</w:t>
      </w:r>
      <w:r>
        <w:t xml:space="preserve"> </w:t>
      </w:r>
      <w:r>
        <w:rPr>
          <w:b/>
        </w:rPr>
        <w:t xml:space="preserve">250% to $455.3B</w:t>
      </w:r>
      <w:r>
        <w:t xml:space="preserve">, anchored by a small number of named hyperscaler and AI-lab contracts. The headline reads as a generational demand event for OCI. Management’s preview implies a $32B FY27 OCI revenue print and a multi-year capex commitment to support it.</w:t>
      </w:r>
    </w:p>
    <w:p>
      <w:pPr>
        <w:pStyle w:val="BodyText"/>
      </w:pPr>
      <w:r>
        <w:t xml:space="preserve">The investor question is whether that backlog is the leading edge of durable, diversified cloud demand, or whether it is concentrated, longer-dated, and structurally entangled with the same handful of capital-constrained AI labs that drive revenue at NVIDIA and AMD as well. The answer matters because the AI capital cycle requires Oracle to depreciate hardware that empirically refreshes every 3 to 4 years against a GAAP useful life of 6 years. The accounting and the economics are pulling in opposite directions.</w:t>
      </w:r>
    </w:p>
    <w:p>
      <w:pPr>
        <w:pStyle w:val="BodyText"/>
      </w:pPr>
      <w:r>
        <w:t xml:space="preserve">This memo treats Oracle not as a company in isolation, but as a node in a four-name AI infrastructure system (Oracle, NVIDIA, AMD, OpenAI) where customer concentration and counterparty overlap create correlated risk that does not show up in single-name fundamentals. The thesis is built on four independent pieces of public-disclosure evidence, calibrated against a cross-company useful-life audit, and translated into a two-scenario DCF where continuing value is the entire valuation question.</w:t>
      </w:r>
    </w:p>
    <w:p>
      <w:pPr>
        <w:pStyle w:val="Heading2"/>
      </w:pPr>
      <w:bookmarkStart w:id="24" w:name="key-findings"/>
      <w:r>
        <w:t xml:space="preserve">Key Findings</w:t>
      </w:r>
      <w:bookmarkEnd w:id="24"/>
    </w:p>
    <w:p>
      <w:pPr>
        <w:pStyle w:val="FirstParagraph"/>
      </w:pPr>
      <w:r>
        <w:rPr>
          <w:b/>
        </w:rPr>
        <w:t xml:space="preserve">Four pieces of evidence that matter most</w:t>
      </w:r>
    </w:p>
    <w:p>
      <w:pPr>
        <w:pStyle w:val="BodyText"/>
      </w:pPr>
      <w:r>
        <w:t xml:space="preserve">Each pillar is independently sourced from public disclosures. The thesis does not require any single pillar to be correct in isolation; it requires the cross-company picture to be coherent, which it is.</w:t>
      </w:r>
    </w:p>
    <w:p>
      <w:pPr>
        <w:pStyle w:val="BodyText"/>
      </w:pPr>
      <w:r>
        <w:t xml:space="preserve">01</w:t>
      </w:r>
    </w:p>
    <w:p>
      <w:pPr>
        <w:pStyle w:val="Heading3"/>
      </w:pPr>
      <w:bookmarkStart w:id="25" w:name="Xa7bab4182ea97c78233f5c12ad2b2db83b355bd"/>
      <w:r>
        <w:t xml:space="preserve">Oracle’s RPO grew 250% to $455.3B, but the share expected over the next twelve months collapsed from 31% to 10%.</w:t>
      </w:r>
      <w:bookmarkEnd w:id="25"/>
    </w:p>
    <w:p>
      <w:pPr>
        <w:pStyle w:val="FirstParagraph"/>
      </w:pPr>
      <w:r>
        <w:t xml:space="preserve">Between February and August 2025, the longer-dated bucket (months 37+) absorbed nearly all of the increase. Implied next-12-month revenue rose only</w:t>
      </w:r>
      <w:r>
        <w:t xml:space="preserve"> </w:t>
      </w:r>
      <w:r>
        <w:rPr>
          <w:b/>
        </w:rPr>
        <w:t xml:space="preserve">$5B</w:t>
      </w:r>
      <w:r>
        <w:t xml:space="preserve"> </w:t>
      </w:r>
      <w:r>
        <w:t xml:space="preserve">(from $40.3B to $45.5B) even as the backlog expanded by</w:t>
      </w:r>
      <w:r>
        <w:t xml:space="preserve"> </w:t>
      </w:r>
      <w:r>
        <w:rPr>
          <w:b/>
        </w:rPr>
        <w:t xml:space="preserve">$325B</w:t>
      </w:r>
      <w:r>
        <w:t xml:space="preserve">. The headline backlog flatters near-term cash optics, and the longer-dated portion is exactly the cash flow that drives terminal value: it is the most important number in the case and the most uncertain.</w:t>
      </w:r>
    </w:p>
    <w:p>
      <w:pPr>
        <w:pStyle w:val="BodyText"/>
      </w:pPr>
      <w:r>
        <w:t xml:space="preserve">02</w:t>
      </w:r>
    </w:p>
    <w:p>
      <w:pPr>
        <w:pStyle w:val="Heading3"/>
      </w:pPr>
      <w:bookmarkStart w:id="26" w:name="Xef51811f5ae2c48be276c96db62affbcc5c66d0"/>
      <w:r>
        <w:t xml:space="preserve">NVIDIA’s customer base shows the AI demand signal is concentrated, not diversified.</w:t>
      </w:r>
      <w:bookmarkEnd w:id="26"/>
    </w:p>
    <w:p>
      <w:pPr>
        <w:pStyle w:val="FirstParagraph"/>
      </w:pPr>
      <w:r>
        <w:t xml:space="preserve">In FY2026 Q2, two direct customers were</w:t>
      </w:r>
      <w:r>
        <w:t xml:space="preserve"> </w:t>
      </w:r>
      <w:r>
        <w:rPr>
          <w:b/>
        </w:rPr>
        <w:t xml:space="preserve">39% of NVIDIA revenue</w:t>
      </w:r>
      <w:r>
        <w:t xml:space="preserve"> </w:t>
      </w:r>
      <w:r>
        <w:t xml:space="preserve">(versus 25% prior year). Three direct customers held</w:t>
      </w:r>
      <w:r>
        <w:t xml:space="preserve"> </w:t>
      </w:r>
      <w:r>
        <w:rPr>
          <w:b/>
        </w:rPr>
        <w:t xml:space="preserve">56% of accounts receivable</w:t>
      </w:r>
      <w:r>
        <w:t xml:space="preserve">. NVIDIA carries</w:t>
      </w:r>
      <w:r>
        <w:t xml:space="preserve"> </w:t>
      </w:r>
      <w:r>
        <w:rPr>
          <w:b/>
        </w:rPr>
        <w:t xml:space="preserve">$46B</w:t>
      </w:r>
      <w:r>
        <w:t xml:space="preserve"> </w:t>
      </w:r>
      <w:r>
        <w:t xml:space="preserve">of total future purchase commitments and took a</w:t>
      </w:r>
      <w:r>
        <w:t xml:space="preserve"> </w:t>
      </w:r>
      <w:r>
        <w:rPr>
          <w:b/>
        </w:rPr>
        <w:t xml:space="preserve">$4.5B excess-inventory charge</w:t>
      </w:r>
      <w:r>
        <w:t xml:space="preserve"> </w:t>
      </w:r>
      <w:r>
        <w:t xml:space="preserve">on H20 products after the April 2025 China export controls. A small number of hyperscale buyers fund the entire build-out, and supplier-side write-down risk has been demonstrated in a single fiscal quarter.</w:t>
      </w:r>
    </w:p>
    <w:p>
      <w:pPr>
        <w:pStyle w:val="BodyText"/>
      </w:pPr>
      <w:r>
        <w:t xml:space="preserve">03</w:t>
      </w:r>
    </w:p>
    <w:p>
      <w:pPr>
        <w:pStyle w:val="Heading3"/>
      </w:pPr>
      <w:bookmarkStart w:id="27" w:name="X7d55980bd5b351fbd30e1906e96c850ae05eadc"/>
      <w:r>
        <w:t xml:space="preserve">AMD’s October 2025 OpenAI partnership reframes what</w:t>
      </w:r>
      <w:r>
        <w:t xml:space="preserve"> </w:t>
      </w:r>
      <w:r>
        <w:t xml:space="preserve">“</w:t>
      </w:r>
      <w:r>
        <w:t xml:space="preserve">booked AI demand</w:t>
      </w:r>
      <w:r>
        <w:t xml:space="preserve">”</w:t>
      </w:r>
      <w:r>
        <w:t xml:space="preserve"> </w:t>
      </w:r>
      <w:r>
        <w:t xml:space="preserve">means.</w:t>
      </w:r>
      <w:bookmarkEnd w:id="27"/>
    </w:p>
    <w:p>
      <w:pPr>
        <w:pStyle w:val="FirstParagraph"/>
      </w:pPr>
      <w:r>
        <w:t xml:space="preserve">AMD issued OpenAI a warrant for</w:t>
      </w:r>
      <w:r>
        <w:t xml:space="preserve"> </w:t>
      </w:r>
      <w:r>
        <w:rPr>
          <w:b/>
        </w:rPr>
        <w:t xml:space="preserve">160 million shares at a $0.01 strike</w:t>
      </w:r>
      <w:r>
        <w:t xml:space="preserve">, roughly</w:t>
      </w:r>
      <w:r>
        <w:t xml:space="preserve"> </w:t>
      </w:r>
      <w:r>
        <w:rPr>
          <w:b/>
        </w:rPr>
        <w:t xml:space="preserve">9.8% of AMD’s outstanding share count</w:t>
      </w:r>
      <w:r>
        <w:t xml:space="preserve">. At AMD’s January 30, 2026 close of $236.73, the underlying market value is approximately</w:t>
      </w:r>
      <w:r>
        <w:t xml:space="preserve"> </w:t>
      </w:r>
      <w:r>
        <w:rPr>
          <w:b/>
        </w:rPr>
        <w:t xml:space="preserve">$37.9B against $1.6 million of cash proceeds</w:t>
      </w:r>
      <w:r>
        <w:t xml:space="preserve">. Anchor AI demand is being secured only with substantial economic concessions. OpenAI sits across all three names as customer (Oracle), indirect customer (NVIDIA), and warrant counterparty (AMD); concentration on a single capital-constrained name flows through the entire system.</w:t>
      </w:r>
    </w:p>
    <w:p>
      <w:pPr>
        <w:pStyle w:val="BodyText"/>
      </w:pPr>
      <w:r>
        <w:t xml:space="preserve">04</w:t>
      </w:r>
    </w:p>
    <w:p>
      <w:pPr>
        <w:pStyle w:val="Heading3"/>
      </w:pPr>
      <w:bookmarkStart w:id="28" w:name="X310c6ad75ebae392757b422a0bdcdbf224f9e54"/>
      <w:r>
        <w:t xml:space="preserve">Hyperscaler accounting is flattering reported margins through useful-life extensions made as the GPU refresh cycle has compressed.</w:t>
      </w:r>
      <w:bookmarkEnd w:id="28"/>
    </w:p>
    <w:p>
      <w:pPr>
        <w:pStyle w:val="FirstParagraph"/>
      </w:pPr>
      <w:r>
        <w:t xml:space="preserve">Microsoft extended server useful life from 4 to 6 years in FY23 (~$3.7B/year margin benefit). Google extended to 6 years in 2023 (~$3.9B/year). Meta extended to 5.5 years in 2024. Oracle extended from 5 to 6 years in FY24. The empirical GPU cycle is</w:t>
      </w:r>
      <w:r>
        <w:t xml:space="preserve"> </w:t>
      </w:r>
      <w:r>
        <w:rPr>
          <w:b/>
        </w:rPr>
        <w:t xml:space="preserve">3 to 4 years</w:t>
      </w:r>
      <w:r>
        <w:t xml:space="preserve"> </w:t>
      </w:r>
      <w:r>
        <w:t xml:space="preserve">(Hopper to Blackwell to Rubin in roughly 36 months). The accounting direction is economically inconsistent: GAAP lives lengthened on the books precisely as economic obsolescence accelerated on the GPU subset, so reported margins overstate economic profitability and reported D&amp;A understates the perpetual reinvestment requirement.</w:t>
      </w:r>
    </w:p>
    <w:p>
      <w:pPr>
        <w:pStyle w:val="Heading2"/>
      </w:pPr>
      <w:bookmarkStart w:id="29" w:name="valuation"/>
      <w:r>
        <w:t xml:space="preserve">Valuation</w:t>
      </w:r>
      <w:bookmarkEnd w:id="29"/>
    </w:p>
    <w:p>
      <w:pPr>
        <w:pStyle w:val="FirstParagraph"/>
      </w:pPr>
      <w:r>
        <w:rPr>
          <w:b/>
        </w:rPr>
        <w:t xml:space="preserve">Two scenarios. Continuing value is the difference.</w:t>
      </w:r>
    </w:p>
    <w:p>
      <w:pPr>
        <w:pStyle w:val="BodyText"/>
      </w:pPr>
      <w:r>
        <w:t xml:space="preserve">The conventional view applies consensus assumptions: 90% of management’s $190B FY30 revenue trajectory, 30% operating margins, capex fading from 37% of revenue to 6% (Oracle’s pre-AI cloud baseline), 8.5% WACC, 2.5% terminal growth. The new normal view (preferred) applies the four evidence pillars and produces a fundamentally different picture.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Driver</w:t>
            </w:r>
          </w:p>
        </w:tc>
        <w:tc>
          <w:tcPr>
            <w:tcBorders>
              <w:bottom w:val="single"/>
            </w:tcBorders>
            <w:vAlign w:val="bottom"/>
          </w:tcPr>
          <w:p>
            <w:pPr>
              <w:pStyle w:val="Compact"/>
              <w:jc w:val="left"/>
            </w:pPr>
            <w:r>
              <w:t xml:space="preserve">Conventional View</w:t>
            </w:r>
          </w:p>
        </w:tc>
        <w:tc>
          <w:tcPr>
            <w:tcBorders>
              <w:bottom w:val="single"/>
            </w:tcBorders>
            <w:vAlign w:val="bottom"/>
          </w:tcPr>
          <w:p>
            <w:pPr>
              <w:pStyle w:val="Compact"/>
              <w:jc w:val="left"/>
            </w:pPr>
            <w:r>
              <w:t xml:space="preserve">New Normal (Preferred)</w:t>
            </w:r>
          </w:p>
        </w:tc>
      </w:tr>
      <w:tr>
        <w:tc>
          <w:p>
            <w:pPr>
              <w:pStyle w:val="Compact"/>
              <w:jc w:val="left"/>
            </w:pPr>
            <w:r>
              <w:t xml:space="preserve">FY30 revenue (</w:t>
            </w:r>
            <m:oMath>
              <m:r>
                <m:t>B</m:t>
              </m:r>
              <m:r>
                <m:t>)</m:t>
              </m:r>
              <m:r>
                <m:t>|</m:t>
              </m:r>
              <m:r>
                <m:t>171</m:t>
              </m:r>
              <m:r>
                <m:t>|</m:t>
              </m:r>
              <m:r>
                <m:t>148</m:t>
              </m:r>
              <m:r>
                <m:t>|</m:t>
              </m:r>
              <m:r>
                <m:t>|</m:t>
              </m:r>
              <m:r>
                <m:t>F</m:t>
              </m:r>
              <m:r>
                <m:t>Y</m:t>
              </m:r>
              <m:r>
                <m:t>30</m:t>
              </m:r>
              <m:r>
                <m:t>E</m:t>
              </m:r>
              <m:r>
                <m:t>B</m:t>
              </m:r>
              <m:r>
                <m:t>I</m:t>
              </m:r>
              <m:r>
                <m:t>T</m:t>
              </m:r>
              <m:r>
                <m:t>m</m:t>
              </m:r>
              <m:r>
                <m:t>a</m:t>
              </m:r>
              <m:r>
                <m:t>r</m:t>
              </m:r>
              <m:r>
                <m:t>g</m:t>
              </m:r>
              <m:r>
                <m:t>i</m:t>
              </m:r>
              <m:r>
                <m:t>n</m:t>
              </m:r>
              <m:r>
                <m:t>|</m:t>
              </m:r>
              <m:r>
                <m:t>30</m:t>
              </m:r>
            </m:oMath>
            <w:r>
              <w:t xml:space="preserve">B)</w:t>
            </w:r>
          </w:p>
        </w:tc>
        <w:tc>
          <w:p>
            <w:pPr>
              <w:pStyle w:val="Compact"/>
              <w:jc w:val="left"/>
            </w:pPr>
            <w:r>
              <w:t xml:space="preserve">640</w:t>
            </w:r>
          </w:p>
        </w:tc>
        <w:tc>
          <w:p>
            <w:pPr>
              <w:pStyle w:val="Compact"/>
              <w:jc w:val="left"/>
            </w:pPr>
            <w:r>
              <w:t xml:space="preserve">298</w:t>
            </w:r>
          </w:p>
        </w:tc>
      </w:tr>
      <w:tr>
        <w:tc>
          <w:p>
            <w:pPr>
              <w:pStyle w:val="Compact"/>
              <w:jc w:val="left"/>
            </w:pPr>
            <w:r>
              <w:t xml:space="preserve">Implied value / share</w:t>
            </w:r>
          </w:p>
        </w:tc>
        <w:tc>
          <w:p>
            <w:pPr>
              <w:pStyle w:val="Compact"/>
              <w:jc w:val="left"/>
            </w:pPr>
            <w:r>
              <w:t xml:space="preserve">$192</w:t>
            </w:r>
          </w:p>
        </w:tc>
        <w:tc>
          <w:p>
            <w:pPr>
              <w:pStyle w:val="Compact"/>
              <w:jc w:val="left"/>
            </w:pPr>
            <w:r>
              <w:t xml:space="preserve">$75</w:t>
            </w:r>
          </w:p>
        </w:tc>
      </w:tr>
      <w:tr>
        <w:tc>
          <w:p>
            <w:pPr>
              <w:pStyle w:val="Compact"/>
              <w:jc w:val="left"/>
            </w:pPr>
            <w:r>
              <w:t xml:space="preserve">vs current $164.52</w:t>
            </w:r>
          </w:p>
        </w:tc>
        <w:tc>
          <w:p>
            <w:pPr>
              <w:pStyle w:val="Compact"/>
              <w:jc w:val="left"/>
            </w:pPr>
            <w:r>
              <w:t xml:space="preserve">+17%</w:t>
            </w:r>
          </w:p>
        </w:tc>
        <w:tc>
          <w:p>
            <w:pPr>
              <w:pStyle w:val="Compact"/>
              <w:jc w:val="left"/>
            </w:pPr>
            <w:r>
              <w:t xml:space="preserve">(54%)</w:t>
            </w:r>
          </w:p>
        </w:tc>
      </w:tr>
    </w:tbl>
    <w:p>
      <w:pPr>
        <w:pStyle w:val="BodyText"/>
      </w:pPr>
      <w:r>
        <w:rPr>
          <w:b/>
        </w:rPr>
        <w:t xml:space="preserve">Continuing value is where the scenarios diverge.</w:t>
      </w:r>
      <w:r>
        <w:t xml:space="preserve"> </w:t>
      </w:r>
      <w:r>
        <w:t xml:space="preserve">The conventional view treats current capex intensity as a transient AI build that fades to legacy cloud baseline. The new normal view treats GPU refresh as a permanent feature: each generation (Hopper, Blackwell, Rubin) is a step-change, not an incremental refresh, so steady-state maintenance capex must equal economic D&amp;A on a 3-to-4-year subset, not GAAP D&amp;A on a 6-year subset. The +150 bps WACC premium captures cross-company counterparty overlap, and 2.0% terminal growth (below Oracle’s pre-AI trend) discounts for the share of current demand that may be scarcity-driven reservation rather than sustaining end demand.</w:t>
      </w:r>
    </w:p>
    <w:p>
      <w:pPr>
        <w:pStyle w:val="Heading2"/>
      </w:pPr>
      <w:bookmarkStart w:id="30" w:name="risk-catalyst-map"/>
      <w:r>
        <w:t xml:space="preserve">Risk &amp; Catalyst Map</w:t>
      </w:r>
      <w:bookmarkEnd w:id="30"/>
    </w:p>
    <w:p>
      <w:pPr>
        <w:pStyle w:val="FirstParagraph"/>
      </w:pPr>
      <w:r>
        <w:rPr>
          <w:b/>
        </w:rPr>
        <w:t xml:space="preserve">Principal downside triggers</w:t>
      </w:r>
    </w:p>
    <w:p>
      <w:pPr>
        <w:pStyle w:val="BodyText"/>
      </w:pPr>
      <w:r>
        <w:t xml:space="preserve">Four catalysts that would compress the gap between current price and our preferred fair value, ranked by conviction and time horizon.</w:t>
      </w:r>
    </w:p>
    <w:p>
      <w:pPr>
        <w:pStyle w:val="BodyText"/>
      </w:pPr>
      <w:r>
        <w:t xml:space="preserve">Trigger I · Highest Conviction</w:t>
      </w:r>
    </w:p>
    <w:p>
      <w:pPr>
        <w:pStyle w:val="BodyText"/>
      </w:pPr>
      <w:r>
        <w:rPr>
          <w:b/>
        </w:rPr>
        <w:t xml:space="preserve">FY27 OCI conversion shortfall</w:t>
      </w:r>
    </w:p>
    <w:p>
      <w:pPr>
        <w:pStyle w:val="BodyText"/>
      </w:pPr>
      <w:r>
        <w:t xml:space="preserve">Management’s OCI revenue preview implies $32B in FY27. Realization meaningfully below this level validates the demand-quality discount and accelerates price discovery. This is the highest-conviction catalyst in the memo and the one most likely to reset the multiple.</w:t>
      </w:r>
    </w:p>
    <w:p>
      <w:pPr>
        <w:pStyle w:val="BodyText"/>
      </w:pPr>
      <w:r>
        <w:t xml:space="preserve">Trigger II</w:t>
      </w:r>
    </w:p>
    <w:p>
      <w:pPr>
        <w:pStyle w:val="BodyText"/>
      </w:pPr>
      <w:r>
        <w:rPr>
          <w:b/>
        </w:rPr>
        <w:t xml:space="preserve">Long-dated RPO renegotiation</w:t>
      </w:r>
    </w:p>
    <w:p>
      <w:pPr>
        <w:pStyle w:val="BodyText"/>
      </w:pPr>
      <w:r>
        <w:t xml:space="preserve">If even</w:t>
      </w:r>
      <w:r>
        <w:t xml:space="preserve"> </w:t>
      </w:r>
      <w:r>
        <w:rPr>
          <w:b/>
        </w:rPr>
        <w:t xml:space="preserve">10% of long-dated RPO</w:t>
      </w:r>
      <w:r>
        <w:t xml:space="preserve"> </w:t>
      </w:r>
      <w:r>
        <w:t xml:space="preserve">is renegotiated or scope-reduced as customer financing and AI training economics evolve, FY2028 to FY2030 revenue falls meaningfully below either scenario, with the largest impact in the years where DCF value is most concentrated.</w:t>
      </w:r>
    </w:p>
    <w:p>
      <w:pPr>
        <w:pStyle w:val="BodyText"/>
      </w:pPr>
      <w:r>
        <w:t xml:space="preserve">Trigger III · Cross-Name</w:t>
      </w:r>
    </w:p>
    <w:p>
      <w:pPr>
        <w:pStyle w:val="BodyText"/>
      </w:pPr>
      <w:r>
        <w:rPr>
          <w:b/>
        </w:rPr>
        <w:t xml:space="preserve">OpenAI funding shock</w:t>
      </w:r>
    </w:p>
    <w:p>
      <w:pPr>
        <w:pStyle w:val="BodyText"/>
      </w:pPr>
      <w:r>
        <w:t xml:space="preserve">OpenAI drives revenue at Oracle, NVIDIA, and AMD simultaneously. Any delay or scope-down to OpenAI’s spending creates correlated revenue impact across the entire AI infrastructure stack and is not diversifiable within the four-name complex.</w:t>
      </w:r>
    </w:p>
    <w:p>
      <w:pPr>
        <w:pStyle w:val="BodyText"/>
      </w:pPr>
      <w:r>
        <w:t xml:space="preserve">Trigger IV</w:t>
      </w:r>
    </w:p>
    <w:p>
      <w:pPr>
        <w:pStyle w:val="BodyText"/>
      </w:pPr>
      <w:r>
        <w:rPr>
          <w:b/>
        </w:rPr>
        <w:t xml:space="preserve">Useful-life policy reversal or audit pressure</w:t>
      </w:r>
    </w:p>
    <w:p>
      <w:pPr>
        <w:pStyle w:val="BodyText"/>
      </w:pPr>
      <w:r>
        <w:t xml:space="preserve">A hyperscaler or Oracle reversal of useful-life extensions, or audit-driven impairment of GPU asset balances, forces a step-down in reported margins and validates the economic-depreciation thesis directly. Probability rises with each new GPU generation that empirically obsoletes the preceding one.</w:t>
      </w:r>
    </w:p>
    <w:p>
      <w:pPr>
        <w:pStyle w:val="Heading2"/>
      </w:pPr>
      <w:bookmarkStart w:id="31" w:name="disconfirming-evidence"/>
      <w:r>
        <w:t xml:space="preserve">Disconfirming Evidence</w:t>
      </w:r>
      <w:bookmarkEnd w:id="31"/>
    </w:p>
    <w:p>
      <w:pPr>
        <w:pStyle w:val="FirstParagraph"/>
      </w:pPr>
      <w:r>
        <w:rPr>
          <w:b/>
        </w:rPr>
        <w:t xml:space="preserve">What would change our view</w:t>
      </w:r>
    </w:p>
    <w:p>
      <w:pPr>
        <w:pStyle w:val="BodyText"/>
      </w:pPr>
      <w:r>
        <w:t xml:space="preserve">The thesis is bracketed honestly. We would revisit the Underweight call if any of the following four conditions were met. Each is a specific, observable disclosure event, not a qualitative shift in narrative.</w:t>
      </w:r>
    </w:p>
    <w:p>
      <w:pPr>
        <w:numPr>
          <w:ilvl w:val="0"/>
          <w:numId w:val="1002"/>
        </w:numPr>
        <w:pStyle w:val="Compact"/>
      </w:pPr>
      <w:r>
        <w:t xml:space="preserve">Oracle discloses customer-level RPO concentration showing meaningful diversification beyond the named hyperscaler and AI-lab cohort.</w:t>
      </w:r>
    </w:p>
    <w:p>
      <w:pPr>
        <w:numPr>
          <w:ilvl w:val="0"/>
          <w:numId w:val="1002"/>
        </w:numPr>
        <w:pStyle w:val="Compact"/>
      </w:pPr>
      <w:r>
        <w:t xml:space="preserve">FY2027 OCI revenue conversion meaningfully exceeds our $26B base (80% of management’s $32B preview).</w:t>
      </w:r>
    </w:p>
    <w:p>
      <w:pPr>
        <w:numPr>
          <w:ilvl w:val="0"/>
          <w:numId w:val="1002"/>
        </w:numPr>
        <w:pStyle w:val="Compact"/>
      </w:pPr>
      <w:r>
        <w:t xml:space="preserve">Operating margin holds at or above 29% through the FY2027 trough year.</w:t>
      </w:r>
    </w:p>
    <w:p>
      <w:pPr>
        <w:numPr>
          <w:ilvl w:val="0"/>
          <w:numId w:val="1002"/>
        </w:numPr>
        <w:pStyle w:val="Compact"/>
      </w:pPr>
      <w:r>
        <w:t xml:space="preserve">Oracle reverses recent useful-life extensions or discloses GPU-specific accelerated schedules.</w:t>
      </w:r>
    </w:p>
    <w:p>
      <w:pPr>
        <w:pStyle w:val="Heading2"/>
      </w:pPr>
      <w:bookmarkStart w:id="32" w:name="recommendation"/>
      <w:r>
        <w:t xml:space="preserve">Recommendation</w:t>
      </w:r>
      <w:bookmarkEnd w:id="32"/>
    </w:p>
    <w:p>
      <w:pPr>
        <w:pStyle w:val="FirstParagraph"/>
      </w:pPr>
      <w:r>
        <w:rPr>
          <w:b/>
        </w:rPr>
        <w:t xml:space="preserve">Strong Underweight / Sell</w:t>
      </w:r>
    </w:p>
    <w:p>
      <w:pPr>
        <w:pStyle w:val="BodyText"/>
      </w:pPr>
      <w:r>
        <w:t xml:space="preserve">Position Sizing &amp; Price Zones</w:t>
      </w:r>
    </w:p>
    <w:p>
      <w:pPr>
        <w:pStyle w:val="Heading3"/>
      </w:pPr>
      <w:bookmarkStart w:id="33" w:name="per-share-sensitivity-range-52-to-120."/>
      <w:r>
        <w:t xml:space="preserve">$75 per share, sensitivity range $52 to $120.</w:t>
      </w:r>
      <w:bookmarkEnd w:id="33"/>
    </w:p>
    <w:p>
      <w:pPr>
        <w:pStyle w:val="FirstParagraph"/>
      </w:pPr>
      <w:r>
        <w:t xml:space="preserve">At $164.52 the stock trades at roughly</w:t>
      </w:r>
      <w:r>
        <w:t xml:space="preserve"> </w:t>
      </w:r>
      <w:r>
        <w:rPr>
          <w:b/>
        </w:rPr>
        <w:t xml:space="preserve">2.2x our preferred fair value</w:t>
      </w:r>
      <w:r>
        <w:t xml:space="preserve">. The risk is asymmetric: upside requires consensus assumptions to hold (full management revenue trajectory, capex fading to legacy baseline, useful-life extensions justified by genuine efficiency gains), while downside requires only the empirical GPU refresh cycle to behave as it has for three generations.</w:t>
      </w:r>
    </w:p>
    <w:p>
      <w:pPr>
        <w:pStyle w:val="BodyText"/>
      </w:pPr>
      <w:r>
        <w:t xml:space="preserve">Buy</w:t>
      </w:r>
    </w:p>
    <w:p>
      <w:pPr>
        <w:pStyle w:val="BodyText"/>
      </w:pPr>
      <w:r>
        <w:t xml:space="preserve">&lt; $52</w:t>
      </w:r>
    </w:p>
    <w:p>
      <w:pPr>
        <w:pStyle w:val="BodyText"/>
      </w:pPr>
      <w:r>
        <w:t xml:space="preserve">Trim</w:t>
      </w:r>
    </w:p>
    <w:p>
      <w:pPr>
        <w:pStyle w:val="BlockText"/>
      </w:pPr>
      <w:r>
        <w:t xml:space="preserve">$82</w:t>
      </w:r>
    </w:p>
    <w:p>
      <w:pPr>
        <w:pStyle w:val="FirstParagraph"/>
      </w:pPr>
      <w:r>
        <w:t xml:space="preserve">Sell Aggressively</w:t>
      </w:r>
    </w:p>
    <w:p>
      <w:pPr>
        <w:pStyle w:val="BlockText"/>
      </w:pPr>
      <w:r>
        <w:t xml:space="preserve">$130</w:t>
      </w:r>
    </w:p>
    <w:p>
      <w:pPr>
        <w:pStyle w:val="FirstParagraph"/>
      </w:pPr>
      <w:r>
        <w:rPr>
          <w:b/>
        </w:rPr>
        <w:t xml:space="preserve">Implementation by Mandate</w:t>
      </w:r>
    </w:p>
    <w:p>
      <w:pPr>
        <w:pStyle w:val="BodyText"/>
      </w:pPr>
      <w:r>
        <w:t xml:space="preserve">Long-Only Mandates</w:t>
      </w:r>
    </w:p>
    <w:p>
      <w:pPr>
        <w:pStyle w:val="BodyText"/>
      </w:pPr>
      <w:r>
        <w:rPr>
          <w:b/>
        </w:rPr>
        <w:t xml:space="preserve">Trim aggressively to zero or underweight</w:t>
      </w:r>
    </w:p>
    <w:p>
      <w:pPr>
        <w:pStyle w:val="BodyText"/>
      </w:pPr>
      <w:r>
        <w:t xml:space="preserve">Position sizing should reflect that the central catalyst (FY27 OCI conversion) is</w:t>
      </w:r>
      <w:r>
        <w:t xml:space="preserve"> </w:t>
      </w:r>
      <w:r>
        <w:rPr>
          <w:b/>
        </w:rPr>
        <w:t xml:space="preserve">12 to 18 months out</w:t>
      </w:r>
      <w:r>
        <w:t xml:space="preserve">. Avoid building exposure on intra-quarter strength.</w:t>
      </w:r>
    </w:p>
    <w:p>
      <w:pPr>
        <w:pStyle w:val="BodyText"/>
      </w:pPr>
      <w:r>
        <w:t xml:space="preserve">Derivative-Enabled</w:t>
      </w:r>
    </w:p>
    <w:p>
      <w:pPr>
        <w:pStyle w:val="BodyText"/>
      </w:pPr>
      <w:r>
        <w:rPr>
          <w:b/>
        </w:rPr>
        <w:t xml:space="preserve">Long-dated put spread</w:t>
      </w:r>
    </w:p>
    <w:p>
      <w:pPr>
        <w:pStyle w:val="BodyText"/>
      </w:pPr>
      <w:r>
        <w:rPr>
          <w:b/>
        </w:rPr>
        <w:t xml:space="preserve">Long $130 puts, short $85 puts, 18 to 24 month expiry.</w:t>
      </w:r>
      <w:r>
        <w:t xml:space="preserve"> </w:t>
      </w:r>
      <w:r>
        <w:t xml:space="preserve">Captures most of the move with defined risk. We do not recommend an outright equity short given squeeze risk in AI mega-caps and multi-quarter catalyst horizons.</w:t>
      </w:r>
    </w:p>
    <w:p>
      <w:pPr>
        <w:pStyle w:val="BodyText"/>
      </w:pPr>
      <w:r>
        <w:t xml:space="preserve">Hedged Accounts</w:t>
      </w:r>
    </w:p>
    <w:p>
      <w:pPr>
        <w:pStyle w:val="BodyText"/>
      </w:pPr>
      <w:r>
        <w:rPr>
          <w:b/>
        </w:rPr>
        <w:t xml:space="preserve">Pair trade vs. SAP or Workday</w:t>
      </w:r>
    </w:p>
    <w:p>
      <w:pPr>
        <w:pStyle w:val="BodyText"/>
      </w:pPr>
      <w:r>
        <w:rPr>
          <w:b/>
        </w:rPr>
        <w:t xml:space="preserve">Short ORCL, long SAP or Workday.</w:t>
      </w:r>
      <w:r>
        <w:t xml:space="preserve"> </w:t>
      </w:r>
      <w:r>
        <w:t xml:space="preserve">Isolates AI-quality-of-revenue from broad software beta. Best fit for accounts that can carry single-name short exposure and want the thesis stripped of sector beta.</w:t>
      </w:r>
    </w:p>
    <w:p>
      <w:pPr>
        <w:pStyle w:val="BodyText"/>
      </w:pPr>
      <w:r>
        <w:rPr>
          <w:b/>
        </w:rPr>
        <w:t xml:space="preserve">Uncertainty.</w:t>
      </w:r>
      <w:r>
        <w:t xml:space="preserve"> </w:t>
      </w:r>
      <w:r>
        <w:t xml:space="preserve">The thesis depends on the empirical GPU obsolescence cycle continuing to outpace GAAP useful lives, and on the industry eventually reflecting that in either accounting changes or sustained capex elevation. The central catalyst (FY27 OCI conversion) is 12 to 18 months out; position sizing and derivative expiry should accept that timing risk.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2026-05-16T15:39:47Z</dcterms:created>
  <dcterms:modified xsi:type="dcterms:W3CDTF">2026-05-16T15:39:47Z</dcterms:modified>
</cp:coreProperties>
</file>

<file path=docProps/custom.xml><?xml version="1.0" encoding="utf-8"?>
<Properties xmlns="http://schemas.openxmlformats.org/officeDocument/2006/custom-properties" xmlns:vt="http://schemas.openxmlformats.org/officeDocument/2006/docPropsVTypes"/>
</file>