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hat-2.4m-tweets-say-about-teslas-brand."/>
      <w:r>
        <w:t xml:space="preserve">What 2.4M tweets say about Tesla’s brand.</w:t>
      </w:r>
      <w:bookmarkEnd w:id="20"/>
    </w:p>
    <w:p>
      <w:pPr>
        <w:pStyle w:val="FirstParagraph"/>
      </w:pPr>
      <w:r>
        <w:rPr>
          <w:b/>
        </w:rPr>
        <w:t xml:space="preserve">Sentiment Analysis</w:t>
      </w:r>
      <w:r>
        <w:t xml:space="preserve"> </w:t>
      </w:r>
      <w:r>
        <w:t xml:space="preserve">- Tesla, Inc. (NASDAQ: TSLA) · Automotive / Brand Analytics</w:t>
      </w:r>
    </w:p>
    <w:p>
      <w:pPr>
        <w:pStyle w:val="BodyText"/>
      </w:pPr>
      <w:r>
        <w:t xml:space="preserve">A natural-language-processing case study comparing VADER, a default BERT classifier, and a BERT model fine-tuned on Sentiment140 across ~2.4 million Tesla tweets from 2018 and 2020. Findings on engagement-weighted sentiment, hashtag evolution, and a clean architectural lesson on why training-data match matters more than model size.</w:t>
      </w:r>
    </w:p>
    <w:p>
      <w:pPr>
        <w:pStyle w:val="BodyText"/>
      </w:pPr>
      <w:r>
        <w:rPr>
          <w:b/>
        </w:rPr>
        <w:t xml:space="preserve">Highlights</w:t>
      </w:r>
    </w:p>
    <w:p>
      <w:pPr>
        <w:numPr>
          <w:ilvl w:val="0"/>
          <w:numId w:val="1001"/>
        </w:numPr>
        <w:pStyle w:val="Compact"/>
      </w:pPr>
      <w:r>
        <w:rPr>
          <w:b/>
        </w:rPr>
        <w:t xml:space="preserve">~2.4M</w:t>
      </w:r>
      <w:r>
        <w:t xml:space="preserve"> </w:t>
      </w:r>
      <w:r>
        <w:t xml:space="preserve">– Tweets Analyzed</w:t>
      </w:r>
    </w:p>
    <w:p>
      <w:pPr>
        <w:numPr>
          <w:ilvl w:val="0"/>
          <w:numId w:val="1001"/>
        </w:numPr>
        <w:pStyle w:val="Compact"/>
      </w:pPr>
      <w:r>
        <w:rPr>
          <w:b/>
        </w:rPr>
        <w:t xml:space="preserve">3</w:t>
      </w:r>
      <w:r>
        <w:t xml:space="preserve"> </w:t>
      </w:r>
      <w:r>
        <w:t xml:space="preserve">– Sentiment Models Compared</w:t>
      </w:r>
    </w:p>
    <w:p>
      <w:pPr>
        <w:numPr>
          <w:ilvl w:val="0"/>
          <w:numId w:val="1001"/>
        </w:numPr>
        <w:pStyle w:val="Compact"/>
      </w:pPr>
      <w:r>
        <w:rPr>
          <w:b/>
        </w:rPr>
        <w:t xml:space="preserve">2:1</w:t>
      </w:r>
      <w:r>
        <w:t xml:space="preserve"> </w:t>
      </w:r>
      <w:r>
        <w:t xml:space="preserve">– Positive-to-Negative Ratio</w:t>
      </w:r>
    </w:p>
    <w:p>
      <w:pPr>
        <w:numPr>
          <w:ilvl w:val="0"/>
          <w:numId w:val="1001"/>
        </w:numPr>
        <w:pStyle w:val="Compact"/>
      </w:pPr>
      <w:r>
        <w:rPr>
          <w:b/>
        </w:rPr>
        <w:t xml:space="preserve">+50pp</w:t>
      </w:r>
      <w:r>
        <w:t xml:space="preserve"> </w:t>
      </w:r>
      <w:r>
        <w:t xml:space="preserve">– Default vs Fine-Tuned BERT Swing</w:t>
      </w:r>
    </w:p>
    <w:p>
      <w:r>
        <w:pict>
          <v:rect style="width:0;height:1.5pt" o:hralign="center" o:hrstd="t" o:hr="t"/>
        </w:pict>
      </w:r>
    </w:p>
    <w:p>
      <w:pPr>
        <w:pStyle w:val="Heading2"/>
      </w:pPr>
      <w:bookmarkStart w:id="21" w:name="executive-summary"/>
      <w:r>
        <w:t xml:space="preserve">Executive Summary</w:t>
      </w:r>
      <w:bookmarkEnd w:id="21"/>
    </w:p>
    <w:p>
      <w:pPr>
        <w:pStyle w:val="FirstParagraph"/>
      </w:pPr>
      <w:r>
        <w:rPr>
          <w:b/>
        </w:rPr>
        <w:t xml:space="preserve">A 2.4M-tweet view of Tesla’s brand</w:t>
      </w:r>
    </w:p>
    <w:p>
      <w:pPr>
        <w:pStyle w:val="BodyText"/>
      </w:pPr>
      <w:r>
        <w:t xml:space="preserve">Social media offers a continuous, unfiltered signal of public sentiment that traditional surveys and focus groups cannot match in scale or timeliness. This study mines</w:t>
      </w:r>
      <w:r>
        <w:t xml:space="preserve"> </w:t>
      </w:r>
      <w:r>
        <w:rPr>
          <w:b/>
        </w:rPr>
        <w:t xml:space="preserve">~2.4 million Tesla tweets</w:t>
      </w:r>
      <w:r>
        <w:t xml:space="preserve"> </w:t>
      </w:r>
      <w:r>
        <w:t xml:space="preserve">from 2018 and 2020 using three sentiment models in sequence:</w:t>
      </w:r>
      <w:r>
        <w:t xml:space="preserve"> </w:t>
      </w:r>
      <w:r>
        <w:rPr>
          <w:b/>
        </w:rPr>
        <w:t xml:space="preserve">VADER</w:t>
      </w:r>
      <w:r>
        <w:t xml:space="preserve"> </w:t>
      </w:r>
      <w:r>
        <w:t xml:space="preserve">(a rule-based lexicon tuned for social media), a</w:t>
      </w:r>
      <w:r>
        <w:t xml:space="preserve"> </w:t>
      </w:r>
      <w:r>
        <w:rPr>
          <w:b/>
        </w:rPr>
        <w:t xml:space="preserve">default BERT</w:t>
      </w:r>
      <w:r>
        <w:t xml:space="preserve"> </w:t>
      </w:r>
      <w:r>
        <w:t xml:space="preserve">classifier (originally trained on movie reviews), and a</w:t>
      </w:r>
      <w:r>
        <w:t xml:space="preserve"> </w:t>
      </w:r>
      <w:r>
        <w:rPr>
          <w:b/>
        </w:rPr>
        <w:t xml:space="preserve">fine-tuned BERT</w:t>
      </w:r>
      <w:r>
        <w:t xml:space="preserve"> </w:t>
      </w:r>
      <w:r>
        <w:t xml:space="preserve">model trained further on the Sentiment140 dataset of 1.6 million labeled tweets. The core finding is consistent across methods: Tesla maintained a</w:t>
      </w:r>
      <w:r>
        <w:t xml:space="preserve"> </w:t>
      </w:r>
      <w:r>
        <w:rPr>
          <w:b/>
        </w:rPr>
        <w:t xml:space="preserve">net positive public image</w:t>
      </w:r>
      <w:r>
        <w:t xml:space="preserve"> </w:t>
      </w:r>
      <w:r>
        <w:t xml:space="preserve">in both years studied, with predictable troughs around controversies (Model 3 production in 2018, the May 2020 pandemic factory shutdown) and recoveries tied to product milestones. Engagement-weighted analysis sharpens the picture:</w:t>
      </w:r>
      <w:r>
        <w:t xml:space="preserve"> </w:t>
      </w:r>
      <w:r>
        <w:rPr>
          <w:b/>
        </w:rPr>
        <w:t xml:space="preserve">Tesla’s most-amplified content skewed even more positive</w:t>
      </w:r>
      <w:r>
        <w:t xml:space="preserve"> </w:t>
      </w:r>
      <w:r>
        <w:t xml:space="preserve">than the overall average.</w:t>
      </w:r>
    </w:p>
    <w:p>
      <w:pPr>
        <w:pStyle w:val="BodyText"/>
      </w:pPr>
      <w:r>
        <w:rPr>
          <w:b/>
        </w:rPr>
        <w:t xml:space="preserve">Three Key Insights</w:t>
      </w:r>
    </w:p>
    <w:p>
      <w:pPr>
        <w:pStyle w:val="Heading3"/>
      </w:pPr>
      <w:bookmarkStart w:id="22" w:name="teslas-twitter-base-is-loud-and-positive"/>
      <w:r>
        <w:t xml:space="preserve">Tesla’s Twitter base is loud and positive</w:t>
      </w:r>
      <w:bookmarkEnd w:id="22"/>
    </w:p>
    <w:p>
      <w:pPr>
        <w:pStyle w:val="FirstParagraph"/>
      </w:pPr>
      <w:r>
        <w:t xml:space="preserve">Across both years, positive tweets outnumbered negative tweets roughly 2-to-1, and engagement-weighted content skewed even more positive. Tesla’s loudest voices are also its most supportive ones.</w:t>
      </w:r>
    </w:p>
    <w:p>
      <w:pPr>
        <w:pStyle w:val="Heading3"/>
      </w:pPr>
      <w:bookmarkStart w:id="23" w:name="Xe33ab30db86f7bf1c94f3b65ef8375bd8d2f4fc"/>
      <w:r>
        <w:t xml:space="preserve">Sentiment recovers fast after adverse events</w:t>
      </w:r>
      <w:bookmarkEnd w:id="23"/>
    </w:p>
    <w:p>
      <w:pPr>
        <w:pStyle w:val="FirstParagraph"/>
      </w:pPr>
      <w:r>
        <w:t xml:space="preserve">Negative spikes around the 2018 production crisis and the May 2020 pandemic shutdown reversed within a single month. The recovery pattern points to a loyal base that compensates for short-term criticism.</w:t>
      </w:r>
    </w:p>
    <w:p>
      <w:pPr>
        <w:pStyle w:val="Heading3"/>
      </w:pPr>
      <w:bookmarkStart w:id="24" w:name="model-choice-can-flip-a-brands-diagnosis"/>
      <w:r>
        <w:t xml:space="preserve">Model choice can flip a brand’s diagnosis</w:t>
      </w:r>
      <w:bookmarkEnd w:id="24"/>
    </w:p>
    <w:p>
      <w:pPr>
        <w:pStyle w:val="FirstParagraph"/>
      </w:pPr>
      <w:r>
        <w:t xml:space="preserve">Default BERT trained on movie reviews labeled 75% of Tesla tweets negative. The same BERT architecture, fine-tuned on tweet language, called 60-70% positive. Domain match matters more than model size.</w:t>
      </w:r>
    </w:p>
    <w:p>
      <w:pPr>
        <w:pStyle w:val="Heading2"/>
      </w:pPr>
      <w:bookmarkStart w:id="25" w:name="how-we-did-it"/>
      <w:r>
        <w:t xml:space="preserve">How We Did It</w:t>
      </w:r>
      <w:bookmarkEnd w:id="25"/>
    </w:p>
    <w:p>
      <w:pPr>
        <w:pStyle w:val="FirstParagraph"/>
      </w:pPr>
      <w:r>
        <w:rPr>
          <w:b/>
        </w:rPr>
        <w:t xml:space="preserve">Five steps from raw tweets to comparable sentiment</w:t>
      </w:r>
    </w:p>
    <w:p>
      <w:pPr>
        <w:pStyle w:val="BodyText"/>
      </w:pPr>
      <w:r>
        <w:t xml:space="preserve">Before any model can read a tweet, the data has to be cleaned, structured, and prepared in ways that let one method’s output be compared against another’s. The workflow below is the same one used in production social-listening pipelines, executed end-to-end in Python.</w:t>
      </w:r>
    </w:p>
    <w:p>
      <w:pPr>
        <w:pStyle w:val="Heading3"/>
      </w:pPr>
      <w:bookmarkStart w:id="26" w:name="data-preprocessing"/>
      <w:r>
        <w:t xml:space="preserve">Data preprocessing</w:t>
      </w:r>
      <w:bookmarkEnd w:id="26"/>
    </w:p>
    <w:p>
      <w:pPr>
        <w:pStyle w:val="FirstParagraph"/>
      </w:pPr>
      <w:r>
        <w:t xml:space="preserve">Strip URLs, @-mentions, hashtags, and emoji. Lowercase all text. Remove stopwords (the, a, is). Split by year so 2018 and 2020 can be compared directly. Without this step, hyperlinks and filler words would dominate every downstream chart.</w:t>
      </w:r>
    </w:p>
    <w:p>
      <w:pPr>
        <w:pStyle w:val="Heading3"/>
      </w:pPr>
      <w:bookmarkStart w:id="27" w:name="exploratory-frequency-analysis"/>
      <w:r>
        <w:t xml:space="preserve">Exploratory frequency analysis</w:t>
      </w:r>
      <w:bookmarkEnd w:id="27"/>
    </w:p>
    <w:p>
      <w:pPr>
        <w:pStyle w:val="FirstParagraph"/>
      </w:pPr>
      <w:r>
        <w:t xml:space="preserve">Surface dominant themes through top-20 word counts, top-20 bigrams (two-word phrases), top hashtags, and word clouds. Bigrams in particular capture context that single-word counts miss:</w:t>
      </w:r>
      <w:r>
        <w:t xml:space="preserve"> </w:t>
      </w:r>
      <w:r>
        <w:t xml:space="preserve">“</w:t>
      </w:r>
      <w:r>
        <w:t xml:space="preserve">model 3,</w:t>
      </w:r>
      <w:r>
        <w:t xml:space="preserve">”</w:t>
      </w:r>
      <w:r>
        <w:t xml:space="preserve"> </w:t>
      </w:r>
      <w:r>
        <w:t xml:space="preserve">“</w:t>
      </w:r>
      <w:r>
        <w:t xml:space="preserve">electric vehicle,</w:t>
      </w:r>
      <w:r>
        <w:t xml:space="preserve">”</w:t>
      </w:r>
      <w:r>
        <w:t xml:space="preserve"> </w:t>
      </w:r>
      <w:r>
        <w:t xml:space="preserve">“</w:t>
      </w:r>
      <w:r>
        <w:t xml:space="preserve">full self driving</w:t>
      </w:r>
      <w:r>
        <w:t xml:space="preserve">”</w:t>
      </w:r>
      <w:r>
        <w:t xml:space="preserve"> </w:t>
      </w:r>
      <w:r>
        <w:t xml:space="preserve">are concepts, not coincidences.</w:t>
      </w:r>
    </w:p>
    <w:p>
      <w:pPr>
        <w:pStyle w:val="Heading3"/>
      </w:pPr>
      <w:bookmarkStart w:id="28" w:name="vader-sentiment-scoring"/>
      <w:r>
        <w:t xml:space="preserve">VADER sentiment scoring</w:t>
      </w:r>
      <w:bookmarkEnd w:id="28"/>
    </w:p>
    <w:p>
      <w:pPr>
        <w:pStyle w:val="FirstParagraph"/>
      </w:pPr>
      <w:r>
        <w:t xml:space="preserve">Rule-based lexicon designed for social media. Each tweet gets a compound score from -1 to +1, accounting for capitalization (ALL CAPS), punctuation (!!!), and emoji. Fast, transparent, and battle-tested on short informal text.</w:t>
      </w:r>
    </w:p>
    <w:p>
      <w:pPr>
        <w:pStyle w:val="Heading3"/>
      </w:pPr>
      <w:bookmarkStart w:id="29" w:name="default-bert-classification"/>
      <w:r>
        <w:t xml:space="preserve">Default BERT classification</w:t>
      </w:r>
      <w:bookmarkEnd w:id="29"/>
    </w:p>
    <w:p>
      <w:pPr>
        <w:pStyle w:val="FirstParagraph"/>
      </w:pPr>
      <w:r>
        <w:t xml:space="preserve">Apply a pre-trained BERT model to a sampled subset of tweets. BERT reads whole sentences in context, catching negation and sarcasm that VADER misses. Output is a class label plus a confidence score from 0 to 1.</w:t>
      </w:r>
    </w:p>
    <w:p>
      <w:pPr>
        <w:pStyle w:val="Heading3"/>
      </w:pPr>
      <w:bookmarkStart w:id="30" w:name="fine-tuned-bert-on-sentiment140"/>
      <w:r>
        <w:t xml:space="preserve">Fine-tuned BERT on Sentiment140</w:t>
      </w:r>
      <w:bookmarkEnd w:id="30"/>
    </w:p>
    <w:p>
      <w:pPr>
        <w:pStyle w:val="FirstParagraph"/>
      </w:pPr>
      <w:r>
        <w:t xml:space="preserve">Continue training the same BERT base on Sentiment140 (1.6M labeled tweets). The model architecture is unchanged; only the training data shifts from movie reviews to tweets. This is the closest match to the production task.</w:t>
      </w:r>
    </w:p>
    <w:p>
      <w:pPr>
        <w:pStyle w:val="Heading3"/>
      </w:pPr>
      <w:bookmarkStart w:id="31" w:name="engagement-weighted-re-scoring"/>
      <w:r>
        <w:t xml:space="preserve">Engagement-weighted re-scoring</w:t>
      </w:r>
      <w:bookmarkEnd w:id="31"/>
    </w:p>
    <w:p>
      <w:pPr>
        <w:pStyle w:val="FirstParagraph"/>
      </w:pPr>
      <w:r>
        <w:t xml:space="preserve">Multiply each tweet’s sentiment by a composite engagement score (retweets, favorites, replies, quotes). A tweet seen by 50,000 people now carries more weight than one seen by 5. This is how PR professionals already think about media impact.</w:t>
      </w:r>
    </w:p>
    <w:p>
      <w:pPr>
        <w:pStyle w:val="BodyText"/>
      </w:pPr>
      <w:r>
        <w:t xml:space="preserve">Python pandas NLTK vaderSentiment Hugging Face Transformers BERT (base-uncased) Sentiment140 matplotlib seaborn wordcloud Jupyter</w:t>
      </w:r>
    </w:p>
    <w:p>
      <w:pPr>
        <w:pStyle w:val="BodyText"/>
      </w:pPr>
      <w:r>
        <w:rPr>
          <w:b/>
          <w:i/>
        </w:rPr>
        <w:t xml:space="preserve">Fig. 1:</w:t>
      </w:r>
      <w:r>
        <w:rPr>
          <w:i/>
        </w:rPr>
        <w:t xml:space="preserve"> </w:t>
      </w:r>
      <w:r>
        <w:rPr>
          <w:i/>
        </w:rPr>
        <w:t xml:space="preserve">Top 20 most-frequent words in Tesla tweets, 2018 (left) vs 2020 (right). Note the shift from</w:t>
      </w:r>
      <w:r>
        <w:rPr>
          <w:i/>
        </w:rPr>
        <w:t xml:space="preserve"> </w:t>
      </w:r>
      <w:r>
        <w:rPr>
          <w:i/>
        </w:rPr>
        <w:t xml:space="preserve">“</w:t>
      </w:r>
      <w:r>
        <w:rPr>
          <w:i/>
        </w:rPr>
        <w:t xml:space="preserve">production</w:t>
      </w:r>
      <w:r>
        <w:rPr>
          <w:i/>
        </w:rPr>
        <w:t xml:space="preserve">”</w:t>
      </w:r>
      <w:r>
        <w:rPr>
          <w:i/>
        </w:rPr>
        <w:t xml:space="preserve"> </w:t>
      </w:r>
      <w:r>
        <w:rPr>
          <w:i/>
        </w:rPr>
        <w:t xml:space="preserve">and</w:t>
      </w:r>
      <w:r>
        <w:rPr>
          <w:i/>
        </w:rPr>
        <w:t xml:space="preserve"> </w:t>
      </w:r>
      <w:r>
        <w:rPr>
          <w:i/>
        </w:rPr>
        <w:t xml:space="preserve">“</w:t>
      </w:r>
      <w:r>
        <w:rPr>
          <w:i/>
        </w:rPr>
        <w:t xml:space="preserve">crash</w:t>
      </w:r>
      <w:r>
        <w:rPr>
          <w:i/>
        </w:rPr>
        <w:t xml:space="preserve">”</w:t>
      </w:r>
      <w:r>
        <w:rPr>
          <w:i/>
        </w:rPr>
        <w:t xml:space="preserve"> </w:t>
      </w:r>
      <w:r>
        <w:rPr>
          <w:i/>
        </w:rPr>
        <w:t xml:space="preserve">in 2018 toward</w:t>
      </w:r>
      <w:r>
        <w:rPr>
          <w:i/>
        </w:rPr>
        <w:t xml:space="preserve"> </w:t>
      </w:r>
      <w:r>
        <w:rPr>
          <w:i/>
        </w:rPr>
        <w:t xml:space="preserve">“</w:t>
      </w:r>
      <w:r>
        <w:rPr>
          <w:i/>
        </w:rPr>
        <w:t xml:space="preserve">stock,</w:t>
      </w:r>
      <w:r>
        <w:rPr>
          <w:i/>
        </w:rPr>
        <w:t xml:space="preserve">”</w:t>
      </w:r>
      <w:r>
        <w:rPr>
          <w:i/>
        </w:rPr>
        <w:t xml:space="preserve"> </w:t>
      </w:r>
      <w:r>
        <w:rPr>
          <w:i/>
        </w:rPr>
        <w:t xml:space="preserve">“</w:t>
      </w:r>
      <w:r>
        <w:rPr>
          <w:i/>
        </w:rPr>
        <w:t xml:space="preserve">battery,</w:t>
      </w:r>
      <w:r>
        <w:rPr>
          <w:i/>
        </w:rPr>
        <w:t xml:space="preserve">”</w:t>
      </w:r>
      <w:r>
        <w:rPr>
          <w:i/>
        </w:rPr>
        <w:t xml:space="preserve"> </w:t>
      </w:r>
      <w:r>
        <w:rPr>
          <w:i/>
        </w:rPr>
        <w:t xml:space="preserve">and</w:t>
      </w:r>
      <w:r>
        <w:rPr>
          <w:i/>
        </w:rPr>
        <w:t xml:space="preserve"> </w:t>
      </w:r>
      <w:r>
        <w:rPr>
          <w:i/>
        </w:rPr>
        <w:t xml:space="preserve">“</w:t>
      </w:r>
      <w:r>
        <w:rPr>
          <w:i/>
        </w:rPr>
        <w:t xml:space="preserve">ev</w:t>
      </w:r>
      <w:r>
        <w:rPr>
          <w:i/>
        </w:rPr>
        <w:t xml:space="preserve">”</w:t>
      </w:r>
      <w:r>
        <w:rPr>
          <w:i/>
        </w:rPr>
        <w:t xml:space="preserve"> </w:t>
      </w:r>
      <w:r>
        <w:rPr>
          <w:i/>
        </w:rPr>
        <w:t xml:space="preserve">in 2020.</w:t>
      </w:r>
    </w:p>
    <w:p>
      <w:pPr>
        <w:pStyle w:val="BodyText"/>
      </w:pPr>
      <w:r>
        <w:rPr>
          <w:b/>
          <w:i/>
        </w:rPr>
        <w:t xml:space="preserve">Fig. 3:</w:t>
      </w:r>
      <w:r>
        <w:rPr>
          <w:i/>
        </w:rPr>
        <w:t xml:space="preserve"> </w:t>
      </w:r>
      <w:r>
        <w:rPr>
          <w:i/>
        </w:rPr>
        <w:t xml:space="preserve">2020 word cloud. The emergence of</w:t>
      </w:r>
      <w:r>
        <w:rPr>
          <w:i/>
        </w:rPr>
        <w:t xml:space="preserve"> </w:t>
      </w:r>
      <w:r>
        <w:rPr>
          <w:i/>
        </w:rPr>
        <w:t xml:space="preserve">“</w:t>
      </w:r>
      <w:r>
        <w:rPr>
          <w:i/>
        </w:rPr>
        <w:t xml:space="preserve">nikola</w:t>
      </w:r>
      <w:r>
        <w:rPr>
          <w:i/>
        </w:rPr>
        <w:t xml:space="preserve">”</w:t>
      </w:r>
      <w:r>
        <w:rPr>
          <w:i/>
        </w:rPr>
        <w:t xml:space="preserve"> </w:t>
      </w:r>
      <w:r>
        <w:rPr>
          <w:i/>
        </w:rPr>
        <w:t xml:space="preserve">(a 2020 EV competitor that went public via SPAC),</w:t>
      </w:r>
      <w:r>
        <w:rPr>
          <w:i/>
        </w:rPr>
        <w:t xml:space="preserve"> </w:t>
      </w:r>
      <w:r>
        <w:rPr>
          <w:i/>
        </w:rPr>
        <w:t xml:space="preserve">“</w:t>
      </w:r>
      <w:r>
        <w:rPr>
          <w:i/>
        </w:rPr>
        <w:t xml:space="preserve">tesla stock,</w:t>
      </w:r>
      <w:r>
        <w:rPr>
          <w:i/>
        </w:rPr>
        <w:t xml:space="preserve">”</w:t>
      </w:r>
      <w:r>
        <w:rPr>
          <w:i/>
        </w:rPr>
        <w:t xml:space="preserve"> </w:t>
      </w:r>
      <w:r>
        <w:rPr>
          <w:i/>
        </w:rPr>
        <w:t xml:space="preserve">and</w:t>
      </w:r>
      <w:r>
        <w:rPr>
          <w:i/>
        </w:rPr>
        <w:t xml:space="preserve"> </w:t>
      </w:r>
      <w:r>
        <w:rPr>
          <w:i/>
        </w:rPr>
        <w:t xml:space="preserve">“</w:t>
      </w:r>
      <w:r>
        <w:rPr>
          <w:i/>
        </w:rPr>
        <w:t xml:space="preserve">electric</w:t>
      </w:r>
      <w:r>
        <w:rPr>
          <w:i/>
        </w:rPr>
        <w:t xml:space="preserve">”</w:t>
      </w:r>
      <w:r>
        <w:rPr>
          <w:i/>
        </w:rPr>
        <w:t xml:space="preserve"> </w:t>
      </w:r>
      <w:r>
        <w:rPr>
          <w:i/>
        </w:rPr>
        <w:t xml:space="preserve">signals that Tesla had moved from a manufacturing story toward a mainstream consumer and investor brand.</w:t>
      </w:r>
    </w:p>
    <w:p>
      <w:pPr>
        <w:pStyle w:val="BodyText"/>
      </w:pPr>
      <w:r>
        <w:rPr>
          <w:b/>
          <w:i/>
        </w:rPr>
        <w:t xml:space="preserve">Fig. 4:</w:t>
      </w:r>
      <w:r>
        <w:rPr>
          <w:i/>
        </w:rPr>
        <w:t xml:space="preserve"> </w:t>
      </w:r>
      <w:r>
        <w:rPr>
          <w:i/>
        </w:rPr>
        <w:t xml:space="preserve">Top hashtags. The 2018 mix is product- and founder-centric (#Model3, #ElonMusk, #SpaceX). By 2020, sustainability hashtags (#EV, #Renewables, #ClimateChange) push into the top 10, signaling a broadened audience.</w:t>
      </w:r>
    </w:p>
    <w:p>
      <w:pPr>
        <w:pStyle w:val="Heading2"/>
      </w:pPr>
      <w:bookmarkStart w:id="32" w:name="part-a"/>
      <w:r>
        <w:t xml:space="preserve">Part A</w:t>
      </w:r>
      <w:bookmarkEnd w:id="32"/>
    </w:p>
    <w:p>
      <w:pPr>
        <w:pStyle w:val="FirstParagraph"/>
      </w:pPr>
      <w:r>
        <w:rPr>
          <w:b/>
        </w:rPr>
        <w:t xml:space="preserve">VADER sentiment over time, with and without engagement</w:t>
      </w:r>
    </w:p>
    <w:p>
      <w:pPr>
        <w:pStyle w:val="BodyText"/>
      </w:pPr>
      <w:r>
        <w:t xml:space="preserve">VADER’s compound score classifies each tweet as positive, neutral, or negative. Plotted month by month across both years, the unweighted view shows steady positive lean punctuated by predictable dips around real-world events. The engagement-weighted view, which gives extra weight to viral tweets, sharpens the picture:</w:t>
      </w:r>
      <w:r>
        <w:t xml:space="preserve"> </w:t>
      </w:r>
      <w:r>
        <w:rPr>
          <w:b/>
        </w:rPr>
        <w:t xml:space="preserve">Tesla’s most-amplified content skews even more positive than the average tweet.</w:t>
      </w:r>
    </w:p>
    <w:p>
      <w:pPr>
        <w:pStyle w:val="BodyText"/>
      </w:pPr>
      <w:r>
        <w:rPr>
          <w:b/>
          <w:i/>
        </w:rPr>
        <w:t xml:space="preserve">Fig. 5:</w:t>
      </w:r>
      <w:r>
        <w:rPr>
          <w:i/>
        </w:rPr>
        <w:t xml:space="preserve"> </w:t>
      </w:r>
      <w:r>
        <w:rPr>
          <w:i/>
        </w:rPr>
        <w:t xml:space="preserve">Unweighted monthly sentiment proportions. 2018 (left): positive rises from 36% in April to 42% by June across the Model 3 production crisis. 2020 (right): positive holds between 38% and 47%, with a clear May spike in negative sentiment (~25%) corresponding to the pandemic factory shutdown.</w:t>
      </w:r>
    </w:p>
    <w:p>
      <w:pPr>
        <w:pStyle w:val="BodyText"/>
      </w:pPr>
      <w:r>
        <w:rPr>
          <w:b/>
          <w:i/>
        </w:rPr>
        <w:t xml:space="preserve">Fig. 6:</w:t>
      </w:r>
      <w:r>
        <w:rPr>
          <w:i/>
        </w:rPr>
        <w:t xml:space="preserve"> </w:t>
      </w:r>
      <w:r>
        <w:rPr>
          <w:i/>
        </w:rPr>
        <w:t xml:space="preserve">Engagement-weighted monthly sentiment. Weighted positive sits 4-7 percentage points higher than the unweighted baseline in most months, meaning Tesla’s viral content tends to be more positive than its average tweet. The May 2020 negative spike persists, indicating the pandemic-shutdown controversy generated unusually high engagement.</w:t>
      </w:r>
      <w:r>
        <w:t xml:space="preserve"> </w:t>
      </w:r>
      <w:r>
        <w:rPr>
          <w:b/>
        </w:rPr>
        <w:t xml:space="preserve">What this means for brand monitoring:</w:t>
      </w:r>
      <w:r>
        <w:t xml:space="preserve"> </w:t>
      </w:r>
      <w:r>
        <w:t xml:space="preserve">day-to-day tweet volume is not the right metric. Engagement-weighted sentiment is. A single high-engagement event (the pandemic shutdown, the</w:t>
      </w:r>
      <w:r>
        <w:t xml:space="preserve"> </w:t>
      </w:r>
      <w:r>
        <w:t xml:space="preserve">“</w:t>
      </w:r>
      <w:r>
        <w:t xml:space="preserve">funding secured</w:t>
      </w:r>
      <w:r>
        <w:t xml:space="preserve">”</w:t>
      </w:r>
      <w:r>
        <w:t xml:space="preserve"> </w:t>
      </w:r>
      <w:r>
        <w:t xml:space="preserve">tweet) can move the needle more than thousands of ordinary posts. The strongest brand-monitoring systems weight by reach, not count.</w:t>
      </w:r>
    </w:p>
    <w:p>
      <w:pPr>
        <w:pStyle w:val="Heading2"/>
      </w:pPr>
      <w:bookmarkStart w:id="33" w:name="part-b"/>
      <w:r>
        <w:t xml:space="preserve">Part B</w:t>
      </w:r>
      <w:bookmarkEnd w:id="33"/>
    </w:p>
    <w:p>
      <w:pPr>
        <w:pStyle w:val="FirstParagraph"/>
      </w:pPr>
      <w:r>
        <w:rPr>
          <w:b/>
        </w:rPr>
        <w:t xml:space="preserve">Three models, three answers, one architectural lesson</w:t>
      </w:r>
    </w:p>
    <w:p>
      <w:pPr>
        <w:pStyle w:val="BodyText"/>
      </w:pPr>
      <w:r>
        <w:t xml:space="preserve">The most useful finding in this study is not about Tesla. It is about what happens when the same dataset is run through three different sentiment models. The headline numbers diverge so sharply that, to a non-technical reader, it would look like a methodology failure. It is not. Each method is making the right calculation for what it was trained on; the lesson is in matching the training data to the task.</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Training Data</w:t>
            </w:r>
          </w:p>
        </w:tc>
        <w:tc>
          <w:tcPr>
            <w:tcBorders>
              <w:bottom w:val="single"/>
            </w:tcBorders>
            <w:vAlign w:val="bottom"/>
          </w:tcPr>
          <w:p>
            <w:pPr>
              <w:pStyle w:val="Compact"/>
              <w:jc w:val="left"/>
            </w:pPr>
            <w:r>
              <w:t xml:space="preserve">Positive Rate on Tesla Tweets</w:t>
            </w:r>
          </w:p>
        </w:tc>
        <w:tc>
          <w:tcPr>
            <w:tcBorders>
              <w:bottom w:val="single"/>
            </w:tcBorders>
            <w:vAlign w:val="bottom"/>
          </w:tcPr>
          <w:p>
            <w:pPr>
              <w:pStyle w:val="Compact"/>
              <w:jc w:val="left"/>
            </w:pPr>
            <w:r>
              <w:t xml:space="preserve">Strength</w:t>
            </w:r>
          </w:p>
        </w:tc>
        <w:tc>
          <w:tcPr>
            <w:tcBorders>
              <w:bottom w:val="single"/>
            </w:tcBorders>
            <w:vAlign w:val="bottom"/>
          </w:tcPr>
          <w:p>
            <w:pPr>
              <w:pStyle w:val="Compact"/>
              <w:jc w:val="left"/>
            </w:pPr>
            <w:r>
              <w:t xml:space="preserve">Verdict</w:t>
            </w:r>
          </w:p>
        </w:tc>
      </w:tr>
      <w:tr>
        <w:tc>
          <w:p>
            <w:pPr>
              <w:pStyle w:val="Compact"/>
              <w:jc w:val="left"/>
            </w:pPr>
            <w:r>
              <w:t xml:space="preserve">VADER</w:t>
            </w:r>
          </w:p>
        </w:tc>
        <w:tc>
          <w:p>
            <w:pPr>
              <w:pStyle w:val="Compact"/>
              <w:jc w:val="left"/>
            </w:pPr>
            <w:r>
              <w:t xml:space="preserve">Hand-curated social-media lexicon</w:t>
            </w:r>
          </w:p>
        </w:tc>
        <w:tc>
          <w:p>
            <w:pPr>
              <w:pStyle w:val="Compact"/>
              <w:jc w:val="left"/>
            </w:pPr>
            <w:r>
              <w:t xml:space="preserve">~45% positive (with neutrals)</w:t>
            </w:r>
          </w:p>
        </w:tc>
        <w:tc>
          <w:p>
            <w:pPr>
              <w:pStyle w:val="Compact"/>
              <w:jc w:val="left"/>
            </w:pPr>
            <w:r>
              <w:t xml:space="preserve">Fast, transparent, handles emoji and ALL CAPS</w:t>
            </w:r>
          </w:p>
        </w:tc>
        <w:tc>
          <w:p>
            <w:pPr>
              <w:pStyle w:val="Compact"/>
              <w:jc w:val="left"/>
            </w:pPr>
            <w:r>
              <w:t xml:space="preserve">Good fit</w:t>
            </w:r>
          </w:p>
        </w:tc>
      </w:tr>
      <w:tr>
        <w:tc>
          <w:p>
            <w:pPr>
              <w:pStyle w:val="Compact"/>
              <w:jc w:val="left"/>
            </w:pPr>
            <w:r>
              <w:t xml:space="preserve">BERT (default)</w:t>
            </w:r>
          </w:p>
        </w:tc>
        <w:tc>
          <w:p>
            <w:pPr>
              <w:pStyle w:val="Compact"/>
              <w:jc w:val="left"/>
            </w:pPr>
            <w:r>
              <w:t xml:space="preserve">Movie reviews (formal English)</w:t>
            </w:r>
          </w:p>
        </w:tc>
        <w:tc>
          <w:p>
            <w:pPr>
              <w:pStyle w:val="Compact"/>
              <w:jc w:val="left"/>
            </w:pPr>
            <w:r>
              <w:t xml:space="preserve">~25% positive</w:t>
            </w:r>
          </w:p>
        </w:tc>
        <w:tc>
          <w:p>
            <w:pPr>
              <w:pStyle w:val="Compact"/>
              <w:jc w:val="left"/>
            </w:pPr>
            <w:r>
              <w:t xml:space="preserve">Reads full sentences in context</w:t>
            </w:r>
          </w:p>
        </w:tc>
        <w:tc>
          <w:p>
            <w:pPr>
              <w:pStyle w:val="Compact"/>
              <w:jc w:val="left"/>
            </w:pPr>
            <w:r>
              <w:t xml:space="preserve">Domain mismatch</w:t>
            </w:r>
          </w:p>
        </w:tc>
      </w:tr>
      <w:tr>
        <w:tc>
          <w:p>
            <w:pPr>
              <w:pStyle w:val="Compact"/>
              <w:jc w:val="left"/>
            </w:pPr>
            <w:r>
              <w:t xml:space="preserve">BERT (fine-tuned)</w:t>
            </w:r>
          </w:p>
        </w:tc>
        <w:tc>
          <w:p>
            <w:pPr>
              <w:pStyle w:val="Compact"/>
              <w:jc w:val="left"/>
            </w:pPr>
            <w:r>
              <w:t xml:space="preserve">Sentiment140 (1.6M labeled tweets)</w:t>
            </w:r>
          </w:p>
        </w:tc>
        <w:tc>
          <w:p>
            <w:pPr>
              <w:pStyle w:val="Compact"/>
              <w:jc w:val="left"/>
            </w:pPr>
            <w:r>
              <w:t xml:space="preserve">~60-70% positive</w:t>
            </w:r>
          </w:p>
        </w:tc>
        <w:tc>
          <w:p>
            <w:pPr>
              <w:pStyle w:val="Compact"/>
              <w:jc w:val="left"/>
            </w:pPr>
            <w:r>
              <w:t xml:space="preserve">Context + tweet-native language</w:t>
            </w:r>
          </w:p>
        </w:tc>
        <w:tc>
          <w:p>
            <w:pPr>
              <w:pStyle w:val="Compact"/>
              <w:jc w:val="left"/>
            </w:pPr>
            <w:r>
              <w:t xml:space="preserve">Best fit</w:t>
            </w:r>
          </w:p>
        </w:tc>
      </w:tr>
    </w:tbl>
    <w:p>
      <w:pPr>
        <w:pStyle w:val="BodyText"/>
      </w:pPr>
      <w:r>
        <w:rPr>
          <w:b/>
          <w:i/>
        </w:rPr>
        <w:t xml:space="preserve">Fig. 7:</w:t>
      </w:r>
      <w:r>
        <w:rPr>
          <w:i/>
        </w:rPr>
        <w:t xml:space="preserve"> </w:t>
      </w:r>
      <w:r>
        <w:rPr>
          <w:i/>
        </w:rPr>
        <w:t xml:space="preserve">Default BERT confidence distribution. The model is highly confident in nearly every prediction, with scores concentrated near 1.0. The model is not confused. It is decisively applying movie-review logic to tweet text, which is the wrong tool calibrated to the wrong domain.</w:t>
      </w:r>
    </w:p>
    <w:p>
      <w:pPr>
        <w:pStyle w:val="BodyText"/>
      </w:pPr>
      <w:r>
        <w:rPr>
          <w:b/>
          <w:i/>
        </w:rPr>
        <w:t xml:space="preserve">Fig. 8a:</w:t>
      </w:r>
      <w:r>
        <w:rPr>
          <w:i/>
        </w:rPr>
        <w:t xml:space="preserve"> </w:t>
      </w:r>
      <w:r>
        <w:rPr>
          <w:i/>
        </w:rPr>
        <w:t xml:space="preserve">Fine-tuned BERT, 2018 (April-June). Positive rate ranges from 55% to 71% across the production crisis. Matches VADER’s directional finding far better than the default model.</w:t>
      </w:r>
      <w:r>
        <w:t xml:space="preserve"> </w:t>
      </w:r>
      <w:r>
        <w:rPr>
          <w:b/>
        </w:rPr>
        <w:t xml:space="preserve">The architectural lesson:</w:t>
      </w:r>
      <w:r>
        <w:t xml:space="preserve"> </w:t>
      </w:r>
      <w:r>
        <w:t xml:space="preserve">the underlying neural network architecture in the default and fine-tuned BERT models is identical. Only the training data changed. That single change moved the positive-rate diagnosis by ~50 percentage points. For any production sentiment pipeline, domain-matched training data is not a refinement; it is the primary determinant of whether the output is credible.</w:t>
      </w:r>
    </w:p>
    <w:p>
      <w:pPr>
        <w:pStyle w:val="BodyText"/>
      </w:pPr>
      <w:r>
        <w:rPr>
          <w:b/>
          <w:i/>
        </w:rPr>
        <w:t xml:space="preserve">Fig. 9:</w:t>
      </w:r>
      <w:r>
        <w:rPr>
          <w:i/>
        </w:rPr>
        <w:t xml:space="preserve"> </w:t>
      </w:r>
      <w:r>
        <w:rPr>
          <w:i/>
        </w:rPr>
        <w:t xml:space="preserve">Sentiment score vs retweet count. More-confidently-positive tweets accumulate more retweets. All three models agree on this directional relationship between positivity and amplification.</w:t>
      </w:r>
    </w:p>
    <w:p>
      <w:pPr>
        <w:pStyle w:val="Heading2"/>
      </w:pPr>
      <w:bookmarkStart w:id="34" w:name="implications"/>
      <w:r>
        <w:t xml:space="preserve">Implications</w:t>
      </w:r>
      <w:bookmarkEnd w:id="34"/>
    </w:p>
    <w:p>
      <w:pPr>
        <w:pStyle w:val="FirstParagraph"/>
      </w:pPr>
      <w:r>
        <w:rPr>
          <w:b/>
        </w:rPr>
        <w:t xml:space="preserve">What a corporate communications team should take from this</w:t>
      </w:r>
    </w:p>
    <w:p>
      <w:pPr>
        <w:pStyle w:val="BodyText"/>
      </w:pPr>
      <w:r>
        <w:t xml:space="preserve">The numbers are interesting. What matters more is what an in-house brand-monitoring program should look like in light of them. Three things change.</w:t>
      </w:r>
    </w:p>
    <w:p>
      <w:pPr>
        <w:pStyle w:val="Heading3"/>
      </w:pPr>
      <w:bookmarkStart w:id="35" w:name="X5c888ed75ca16a3dfb3b4a0d9869bdc08946190"/>
      <w:r>
        <w:t xml:space="preserve">Build an engagement-weighted early-warning system</w:t>
      </w:r>
      <w:bookmarkEnd w:id="35"/>
    </w:p>
    <w:p>
      <w:pPr>
        <w:pStyle w:val="FirstParagraph"/>
      </w:pPr>
      <w:r>
        <w:t xml:space="preserve">Track sentiment by reach, not by tweet count. A weighted dashboard would have flagged the May 2020 controversy days before the news cycle made it a CEO-level issue. Daily volume is noise; viral content is signal.</w:t>
      </w:r>
    </w:p>
    <w:p>
      <w:pPr>
        <w:pStyle w:val="Heading3"/>
      </w:pPr>
      <w:bookmarkStart w:id="36" w:name="X7c3851b7dfe69955f731cf2c1989c22efcdcacf"/>
      <w:r>
        <w:t xml:space="preserve">Treat hashtag evolution as a brand-identity barometer</w:t>
      </w:r>
      <w:bookmarkEnd w:id="36"/>
    </w:p>
    <w:p>
      <w:pPr>
        <w:pStyle w:val="FirstParagraph"/>
      </w:pPr>
      <w:r>
        <w:t xml:space="preserve">The 2018-to-2020 shift from #Model3 and #SpaceX to #EV and #ClimateChange was visible in the hashtag mix months before it showed up in earnings commentary. Hashtag drift is one of the fastest leading indicators of how a brand’s audience is changing.</w:t>
      </w:r>
    </w:p>
    <w:p>
      <w:pPr>
        <w:pStyle w:val="Heading3"/>
      </w:pPr>
      <w:bookmarkStart w:id="37" w:name="pick-the-model-that-matches-the-medium"/>
      <w:r>
        <w:t xml:space="preserve">Pick the model that matches the medium</w:t>
      </w:r>
      <w:bookmarkEnd w:id="37"/>
    </w:p>
    <w:p>
      <w:pPr>
        <w:pStyle w:val="FirstParagraph"/>
      </w:pPr>
      <w:r>
        <w:t xml:space="preserve">A default off-the-shelf model trained on the wrong domain will deliver confident, decisively wrong answers. Any production social-listening pipeline should be fine-tuned on tweet-native data or validated against a domain-matched benchmark before its outputs reach an executive dashboard.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2026-05-16T15:39:47Z</dcterms:created>
  <dcterms:modified xsi:type="dcterms:W3CDTF">2026-05-16T15:39:47Z</dcterms:modified>
</cp:coreProperties>
</file>

<file path=docProps/custom.xml><?xml version="1.0" encoding="utf-8"?>
<Properties xmlns="http://schemas.openxmlformats.org/officeDocument/2006/custom-properties" xmlns:vt="http://schemas.openxmlformats.org/officeDocument/2006/docPropsVTypes"/>
</file>