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B0C10"/>
          <w:sz w:val="44"/>
          <w:szCs w:val="44"/>
        </w:rPr>
        <w:t xml:space="preserve">FutureInSites Brand Guidelines</w:t>
      </w:r>
    </w:p>
    <w:p>
      <w:pPr>
        <w:spacing w:after="240"/>
      </w:pPr>
      <w:r>
        <w:rPr>
          <w:rFonts w:ascii="Arial" w:cs="Arial" w:eastAsia="Arial" w:hAnsi="Arial"/>
          <w:color w:val="64748B"/>
          <w:sz w:val="20"/>
          <w:szCs w:val="20"/>
        </w:rPr>
        <w:t xml:space="preserve">Version 1.0 draft for review  |  June 5, 2026  |  Source of truth: futureinsites.com</w:t>
      </w:r>
    </w:p>
    <w:p>
      <w:pPr>
        <w:spacing w:after="160"/>
      </w:pPr>
      <w:r>
        <w:rPr>
          <w:rFonts w:ascii="Arial" w:cs="Arial" w:eastAsia="Arial" w:hAnsi="Arial"/>
          <w:b w:val="false"/>
          <w:bCs w:val="false"/>
          <w:i w:val="false"/>
          <w:iCs w:val="false"/>
          <w:color w:val="0B0C10"/>
          <w:sz w:val="21"/>
          <w:szCs w:val="21"/>
        </w:rPr>
        <w:t xml:space="preserve">Sync rule: the website and all collateral (decks, docs, graphics) stay in sync. The website defines the brand; these guidelines codify what is already live. Any proposal that goes beyond the live site is flagged [WEBSITE CHANGE] because adopting it means updating the site to match. Nothing in sections 1 through 5 requires website changes; everything is documented as built.</w:t>
      </w:r>
    </w:p>
    <w:p>
      <w:pPr>
        <w:pStyle w:val="Heading1"/>
        <w:spacing w:after="160" w:before="300"/>
      </w:pPr>
      <w:r>
        <w:rPr>
          <w:rFonts w:ascii="Arial" w:cs="Arial" w:eastAsia="Arial" w:hAnsi="Arial"/>
          <w:b/>
          <w:bCs/>
          <w:color w:val="0B0C10"/>
          <w:sz w:val="30"/>
          <w:szCs w:val="30"/>
        </w:rPr>
        <w:t xml:space="preserve">1. Logo and wordmark</w:t>
      </w:r>
    </w:p>
    <w:p>
      <w:pPr>
        <w:spacing w:after="160"/>
      </w:pPr>
      <w:r>
        <w:rPr>
          <w:rFonts w:ascii="Arial" w:cs="Arial" w:eastAsia="Arial" w:hAnsi="Arial"/>
          <w:b w:val="false"/>
          <w:bCs w:val="false"/>
          <w:i w:val="false"/>
          <w:iCs w:val="false"/>
          <w:color w:val="0B0C10"/>
          <w:sz w:val="21"/>
          <w:szCs w:val="21"/>
        </w:rPr>
        <w:t xml:space="preserve">White version (the primary logo): full lockup as used on dark surfaces:</w:t>
      </w:r>
    </w:p>
    <w:p>
      <w:pPr>
        <w:spacing w:after="160"/>
        <w:jc w:val="center"/>
      </w:pPr>
      <w:r>
        <w:drawing>
          <wp:inline distT="0" distB="0" distL="0" distR="0">
            <wp:extent cx="4000500" cy="1000125"/>
            <wp:effectExtent t="0" r="0" b="0" l="0"/>
            <wp:docPr id="1" name="FutureInSites full lockup" descr="FutureInSites full lockup" title="FutureInSites full l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000125"/>
                    </a:xfrm>
                    <a:prstGeom prst="rect">
                      <a:avLst/>
                    </a:prstGeom>
                  </pic:spPr>
                </pic:pic>
              </a:graphicData>
            </a:graphic>
          </wp:inline>
        </w:drawing>
      </w:r>
    </w:p>
    <w:p>
      <w:pPr>
        <w:spacing w:after="160"/>
      </w:pPr>
      <w:r>
        <w:rPr>
          <w:rFonts w:ascii="Arial" w:cs="Arial" w:eastAsia="Arial" w:hAnsi="Arial"/>
          <w:b w:val="false"/>
          <w:bCs w:val="false"/>
          <w:i w:val="false"/>
          <w:iCs w:val="false"/>
          <w:color w:val="0B0C10"/>
          <w:sz w:val="21"/>
          <w:szCs w:val="21"/>
        </w:rPr>
        <w:t xml:space="preserve">Wordmark alone on dark:</w:t>
      </w:r>
    </w:p>
    <w:p>
      <w:pPr>
        <w:spacing w:after="160"/>
        <w:jc w:val="center"/>
      </w:pPr>
      <w:r>
        <w:drawing>
          <wp:inline distT="0" distB="0" distL="0" distR="0">
            <wp:extent cx="2857500" cy="1076325"/>
            <wp:effectExtent t="0" r="0" b="0" l="0"/>
            <wp:docPr id="1" name="FutureInSites wordmark" descr="FutureInSites wordmark" title="FutureInSites word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076325"/>
                    </a:xfrm>
                    <a:prstGeom prst="rect">
                      <a:avLst/>
                    </a:prstGeom>
                  </pic:spPr>
                </pic:pic>
              </a:graphicData>
            </a:graphic>
          </wp:inline>
        </w:drawing>
      </w:r>
    </w:p>
    <w:p>
      <w:pPr>
        <w:spacing w:after="160"/>
      </w:pPr>
      <w:r>
        <w:rPr>
          <w:rFonts w:ascii="Arial" w:cs="Arial" w:eastAsia="Arial" w:hAnsi="Arial"/>
          <w:b w:val="false"/>
          <w:bCs w:val="false"/>
          <w:i w:val="false"/>
          <w:iCs w:val="false"/>
          <w:color w:val="0B0C10"/>
          <w:sz w:val="21"/>
          <w:szCs w:val="21"/>
        </w:rPr>
        <w:t xml:space="preserve">Standalone mark (nav, avatars, favicons):</w:t>
      </w:r>
    </w:p>
    <w:p>
      <w:pPr>
        <w:spacing w:after="160"/>
        <w:jc w:val="center"/>
      </w:pPr>
      <w:r>
        <w:drawing>
          <wp:inline distT="0" distB="0" distL="0" distR="0">
            <wp:extent cx="857250" cy="857250"/>
            <wp:effectExtent t="0" r="0" b="0" l="0"/>
            <wp:docPr id="1" name="FutureInSites mark" descr="FutureInSites mark" title="FutureInSites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57250"/>
                    </a:xfrm>
                    <a:prstGeom prst="rect">
                      <a:avLst/>
                    </a:prstGeom>
                  </pic:spPr>
                </pic:pic>
              </a:graphicData>
            </a:graphic>
          </wp:inline>
        </w:drawing>
      </w:r>
    </w:p>
    <w:p>
      <w:pPr>
        <w:pStyle w:val="ListParagraph"/>
        <w:numPr>
          <w:ilvl w:val="0"/>
          <w:numId w:val="2"/>
        </w:numPr>
        <w:spacing w:after="100"/>
      </w:pPr>
      <w:r>
        <w:rPr>
          <w:rFonts w:ascii="Arial" w:cs="Arial" w:eastAsia="Arial" w:hAnsi="Arial"/>
          <w:b/>
          <w:bCs/>
          <w:color w:val="0B0C10"/>
          <w:sz w:val="21"/>
          <w:szCs w:val="21"/>
        </w:rPr>
        <w:t xml:space="preserve">Two versions: </w:t>
      </w:r>
      <w:r>
        <w:rPr>
          <w:rFonts w:ascii="Arial" w:cs="Arial" w:eastAsia="Arial" w:hAnsi="Arial"/>
          <w:color w:val="0B0C10"/>
          <w:sz w:val="21"/>
          <w:szCs w:val="21"/>
        </w:rPr>
        <w:t xml:space="preserve">the white version (white “Future”) lives on dark surfaces and is the primary logo; the black version (“Future” in #0B0C10) lives on white and light surfaces. In both, “InSites” carries the brand gradient, left to right, Cyan to Blue (90°). Manrope ExtraBold 800, letter-spacing -0.025em, no space between the parts.</w:t>
      </w:r>
    </w:p>
    <w:p>
      <w:pPr>
        <w:pStyle w:val="ListParagraph"/>
        <w:numPr>
          <w:ilvl w:val="0"/>
          <w:numId w:val="2"/>
        </w:numPr>
        <w:spacing w:after="100"/>
      </w:pPr>
      <w:r>
        <w:rPr>
          <w:rFonts w:ascii="Arial" w:cs="Arial" w:eastAsia="Arial" w:hAnsi="Arial"/>
          <w:b/>
          <w:bCs/>
          <w:color w:val="0B0C10"/>
          <w:sz w:val="21"/>
          <w:szCs w:val="21"/>
        </w:rPr>
        <w:t xml:space="preserve">The gradient belongs to “InSites” only. </w:t>
      </w:r>
      <w:r>
        <w:rPr>
          <w:rFonts w:ascii="Arial" w:cs="Arial" w:eastAsia="Arial" w:hAnsi="Arial"/>
          <w:color w:val="0B0C10"/>
          <w:sz w:val="21"/>
          <w:szCs w:val="21"/>
        </w:rPr>
        <w:t xml:space="preserve">Never apply it to headlines, icons, bars, or any other text.</w:t>
      </w:r>
    </w:p>
    <w:p>
      <w:pPr>
        <w:pStyle w:val="ListParagraph"/>
        <w:numPr>
          <w:ilvl w:val="0"/>
          <w:numId w:val="2"/>
        </w:numPr>
        <w:spacing w:after="100"/>
      </w:pPr>
      <w:r>
        <w:rPr>
          <w:rFonts w:ascii="Arial" w:cs="Arial" w:eastAsia="Arial" w:hAnsi="Arial"/>
          <w:b/>
          <w:bCs/>
          <w:color w:val="0B0C10"/>
          <w:sz w:val="21"/>
          <w:szCs w:val="21"/>
        </w:rPr>
        <w:t xml:space="preserve">No riffs: </w:t>
      </w:r>
      <w:r>
        <w:rPr>
          <w:rFonts w:ascii="Arial" w:cs="Arial" w:eastAsia="Arial" w:hAnsi="Arial"/>
          <w:color w:val="0B0C10"/>
          <w:sz w:val="21"/>
          <w:szCs w:val="21"/>
        </w:rPr>
        <w:t xml:space="preserve">where gradient text is impossible (plain text contexts, email), render the full wordmark in one solid color instead.</w:t>
      </w:r>
    </w:p>
    <w:p>
      <w:pPr>
        <w:pStyle w:val="ListParagraph"/>
        <w:numPr>
          <w:ilvl w:val="0"/>
          <w:numId w:val="2"/>
        </w:numPr>
        <w:spacing w:after="100"/>
      </w:pPr>
      <w:r>
        <w:rPr>
          <w:rFonts w:ascii="Arial" w:cs="Arial" w:eastAsia="Arial" w:hAnsi="Arial"/>
          <w:b/>
          <w:bCs/>
          <w:color w:val="0B0C10"/>
          <w:sz w:val="21"/>
          <w:szCs w:val="21"/>
        </w:rPr>
        <w:t xml:space="preserve">Tagline lockup: </w:t>
      </w:r>
      <w:r>
        <w:rPr>
          <w:rFonts w:ascii="Arial" w:cs="Arial" w:eastAsia="Arial" w:hAnsi="Arial"/>
          <w:color w:val="0B0C10"/>
          <w:sz w:val="21"/>
          <w:szCs w:val="21"/>
        </w:rPr>
        <w:t xml:space="preserve">“AI Strategy &amp; Engineering” in regular weight, white or near-black depending on background.</w:t>
      </w:r>
    </w:p>
    <w:p>
      <w:pPr>
        <w:pStyle w:val="ListParagraph"/>
        <w:numPr>
          <w:ilvl w:val="0"/>
          <w:numId w:val="2"/>
        </w:numPr>
        <w:spacing w:after="100"/>
      </w:pPr>
      <w:r>
        <w:rPr>
          <w:rFonts w:ascii="Arial" w:cs="Arial" w:eastAsia="Arial" w:hAnsi="Arial"/>
          <w:b/>
          <w:bCs/>
          <w:color w:val="0B0C10"/>
          <w:sz w:val="21"/>
          <w:szCs w:val="21"/>
        </w:rPr>
        <w:t xml:space="preserve">Which version where: </w:t>
      </w:r>
      <w:r>
        <w:rPr>
          <w:rFonts w:ascii="Arial" w:cs="Arial" w:eastAsia="Arial" w:hAnsi="Arial"/>
          <w:color w:val="0B0C10"/>
          <w:sz w:val="21"/>
          <w:szCs w:val="21"/>
        </w:rPr>
        <w:t xml:space="preserve">the logo picks itself based on the surface. Dark surface = white version, exactly as the site does today. White or light surface = black version. The white version must never sit directly on a light background.</w:t>
      </w:r>
    </w:p>
    <w:p>
      <w:pPr>
        <w:spacing w:after="100"/>
      </w:pPr>
      <w:r>
        <w:rPr>
          <w:rFonts w:ascii="Arial" w:cs="Arial" w:eastAsia="Arial" w:hAnsi="Arial"/>
          <w:b/>
          <w:bCs/>
          <w:i w:val="false"/>
          <w:iCs w:val="false"/>
          <w:color w:val="0B0C10"/>
          <w:sz w:val="24"/>
          <w:szCs w:val="24"/>
        </w:rPr>
        <w:t xml:space="preserve">The black version</w:t>
      </w:r>
    </w:p>
    <w:p>
      <w:pPr>
        <w:spacing w:after="160"/>
      </w:pPr>
      <w:r>
        <w:rPr>
          <w:rFonts w:ascii="Arial" w:cs="Arial" w:eastAsia="Arial" w:hAnsi="Arial"/>
          <w:b w:val="false"/>
          <w:bCs w:val="false"/>
          <w:i w:val="false"/>
          <w:iCs w:val="false"/>
          <w:color w:val="0B0C10"/>
          <w:sz w:val="21"/>
          <w:szCs w:val="21"/>
        </w:rPr>
        <w:t xml:space="preserve">New asset to create: “Future” in near-black #0B0C10, “InSites” keeps the exact same Cyan to Blue gradient, mark unchanged since it already reads on white. Standard for all white surfaces: slides, docs, print. Mock below is set in a stand-in font; the production asset uses Manrope ExtraBold:</w:t>
      </w:r>
    </w:p>
    <w:p>
      <w:pPr>
        <w:spacing w:after="160"/>
        <w:jc w:val="center"/>
      </w:pPr>
      <w:r>
        <w:drawing>
          <wp:inline distT="0" distB="0" distL="0" distR="0">
            <wp:extent cx="3238500" cy="542925"/>
            <wp:effectExtent t="0" r="0" b="0" l="0"/>
            <wp:docPr id="1" name="Wordmark on white, ink Future with gradient InSites" descr="Wordmark on white, ink Future with gradient InSites" title="Wordmark on white, ink Future with gradient In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542925"/>
                    </a:xfrm>
                    <a:prstGeom prst="rect">
                      <a:avLst/>
                    </a:prstGeom>
                  </pic:spPr>
                </pic:pic>
              </a:graphicData>
            </a:graphic>
          </wp:inline>
        </w:drawing>
      </w:r>
    </w:p>
    <w:p>
      <w:pPr>
        <w:spacing w:after="160"/>
      </w:pPr>
      <w:r>
        <w:rPr>
          <w:rFonts w:ascii="Arial" w:cs="Arial" w:eastAsia="Arial" w:hAnsi="Arial"/>
          <w:b w:val="false"/>
          <w:bCs w:val="false"/>
          <w:i w:val="false"/>
          <w:iCs w:val="false"/>
          <w:color w:val="0B0C10"/>
          <w:sz w:val="21"/>
          <w:szCs w:val="21"/>
        </w:rPr>
        <w:t xml:space="preserve">Small-size rule: the cyan end of the gradient is low contrast on white, so below roughly 1 inch of logo width “InSites” goes solid Blue #2563EB, or drop to the standalone mark. Until the black version exists, the interim treatment is the white version on its own dark band with rounded corners:</w:t>
      </w:r>
    </w:p>
    <w:p>
      <w:pPr>
        <w:spacing w:after="160"/>
        <w:jc w:val="center"/>
      </w:pPr>
      <w:r>
        <w:drawing>
          <wp:inline distT="0" distB="0" distL="0" distR="0">
            <wp:extent cx="3429000" cy="952500"/>
            <wp:effectExtent t="0" r="0" b="0" l="0"/>
            <wp:docPr id="1" name="Dark lockup on ink band on white" descr="Dark lockup on ink band on white" title="Dark lockup on ink band on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952500"/>
                    </a:xfrm>
                    <a:prstGeom prst="rect">
                      <a:avLst/>
                    </a:prstGeom>
                  </pic:spPr>
                </pic:pic>
              </a:graphicData>
            </a:graphic>
          </wp:inline>
        </w:drawing>
      </w:r>
    </w:p>
    <w:p>
      <w:pPr>
        <w:spacing w:after="160"/>
      </w:pPr>
      <w:r>
        <w:rPr>
          <w:rFonts w:ascii="Arial" w:cs="Arial" w:eastAsia="Arial" w:hAnsi="Arial"/>
          <w:b w:val="false"/>
          <w:bCs w:val="false"/>
          <w:i w:val="false"/>
          <w:iCs w:val="false"/>
          <w:color w:val="0B0C10"/>
          <w:sz w:val="21"/>
          <w:szCs w:val="21"/>
        </w:rPr>
        <w:t xml:space="preserve">After the black version exists, the band treatment stays available as an occasional brand moment (covers, footers), not the default. Where nothing fits (tight corners, tiny footers), light surfaces carry the standalone mark only.</w:t>
      </w:r>
    </w:p>
    <w:p>
      <w:pPr>
        <w:spacing w:after="160"/>
      </w:pPr>
      <w:r>
        <w:rPr>
          <w:rFonts w:ascii="Arial" w:cs="Arial" w:eastAsia="Arial" w:hAnsi="Arial"/>
          <w:b w:val="false"/>
          <w:bCs w:val="false"/>
          <w:i w:val="false"/>
          <w:iCs w:val="false"/>
          <w:color w:val="0B0C10"/>
          <w:sz w:val="21"/>
          <w:szCs w:val="21"/>
        </w:rPr>
        <w:t xml:space="preserve">The brand gradient:</w:t>
      </w:r>
    </w:p>
    <w:p>
      <w:pPr>
        <w:spacing w:after="160"/>
        <w:jc w:val="center"/>
      </w:pPr>
      <w:r>
        <w:drawing>
          <wp:inline distT="0" distB="0" distL="0" distR="0">
            <wp:extent cx="4286250" cy="571500"/>
            <wp:effectExtent t="0" r="0" b="0" l="0"/>
            <wp:docPr id="1" name="Brand gradient cyan to blue" descr="Brand gradient cyan to blue" title="Brand gradient cyan to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571500"/>
                    </a:xfrm>
                    <a:prstGeom prst="rect">
                      <a:avLst/>
                    </a:prstGeom>
                  </pic:spPr>
                </pic:pic>
              </a:graphicData>
            </a:graphic>
          </wp:inline>
        </w:drawing>
      </w:r>
    </w:p>
    <w:p>
      <w:pPr>
        <w:spacing w:after="160"/>
        <w:jc w:val="center"/>
      </w:pPr>
      <w:r>
        <w:rPr>
          <w:rFonts w:ascii="Consolas" w:cs="Consolas" w:eastAsia="Consolas" w:hAnsi="Consolas"/>
          <w:color w:val="64748B"/>
          <w:sz w:val="20"/>
          <w:szCs w:val="20"/>
        </w:rPr>
        <w:t xml:space="preserve">#2DD4FF → #2563EB, 90° (left to right)</w:t>
      </w:r>
    </w:p>
    <w:p>
      <w:pPr>
        <w:pStyle w:val="Heading1"/>
        <w:spacing w:after="160" w:before="300"/>
      </w:pPr>
      <w:r>
        <w:rPr>
          <w:rFonts w:ascii="Arial" w:cs="Arial" w:eastAsia="Arial" w:hAnsi="Arial"/>
          <w:b/>
          <w:bCs/>
          <w:color w:val="0B0C10"/>
          <w:sz w:val="30"/>
          <w:szCs w:val="30"/>
        </w:rPr>
        <w:t xml:space="preserve">2. Color palette</w:t>
      </w:r>
    </w:p>
    <w:p>
      <w:pPr>
        <w:spacing w:after="100"/>
      </w:pPr>
      <w:r>
        <w:rPr>
          <w:rFonts w:ascii="Arial" w:cs="Arial" w:eastAsia="Arial" w:hAnsi="Arial"/>
          <w:b/>
          <w:bCs/>
          <w:i w:val="false"/>
          <w:iCs w:val="false"/>
          <w:color w:val="0B0C10"/>
          <w:sz w:val="21"/>
          <w:szCs w:val="21"/>
        </w:rPr>
        <w:t xml:space="preserve">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700"/>
        <w:gridCol w:w="3660"/>
      </w:tblGrid>
      <w:tr>
        <w:tc>
          <w:tcPr>
            <w:tcW w:type="dxa" w:w="220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Name / role</w:t>
            </w:r>
          </w:p>
        </w:tc>
        <w:tc>
          <w:tcPr>
            <w:tcW w:type="dxa" w:w="180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Swatch</w:t>
            </w:r>
          </w:p>
        </w:tc>
        <w:tc>
          <w:tcPr>
            <w:tcW w:type="dxa" w:w="170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Hex</w:t>
            </w:r>
          </w:p>
        </w:tc>
        <w:tc>
          <w:tcPr>
            <w:tcW w:type="dxa" w:w="366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Usage</w:t>
            </w:r>
          </w:p>
        </w:tc>
      </w:tr>
      <w:tr>
        <w:tc>
          <w:tcPr>
            <w:tcW w:type="dxa" w:w="22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Near-black (primary dark)</w:t>
            </w:r>
          </w:p>
        </w:tc>
        <w:tc>
          <w:tcPr>
            <w:tcW w:type="dxa" w:w="180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center"/>
            </w:pPr>
            <w:r>
              <w:rPr>
                <w:rFonts w:ascii="Consolas" w:cs="Consolas" w:eastAsia="Consolas" w:hAnsi="Consolas"/>
                <w:b/>
                <w:bCs/>
                <w:color w:val="FFFFFF"/>
                <w:sz w:val="20"/>
                <w:szCs w:val="20"/>
              </w:rPr>
              <w:t xml:space="preserve">#0B0C10</w:t>
            </w:r>
          </w:p>
        </w:tc>
        <w:tc>
          <w:tcPr>
            <w:tcW w:type="dxa" w:w="1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Consolas" w:cs="Consolas" w:eastAsia="Consolas" w:hAnsi="Consolas"/>
                <w:b w:val="false"/>
                <w:bCs w:val="false"/>
                <w:color w:val="0B0C10"/>
                <w:sz w:val="20"/>
                <w:szCs w:val="20"/>
              </w:rPr>
              <w:t xml:space="preserve">#0B0C10</w:t>
            </w:r>
          </w:p>
        </w:tc>
        <w:tc>
          <w:tcPr>
            <w:tcW w:type="dxa" w:w="36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Dark section backgrounds; body text on light</w:t>
            </w:r>
          </w:p>
        </w:tc>
      </w:tr>
      <w:tr>
        <w:tc>
          <w:tcPr>
            <w:tcW w:type="dxa" w:w="22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Near-black 2 (raised dark)</w:t>
            </w:r>
          </w:p>
        </w:tc>
        <w:tc>
          <w:tcPr>
            <w:tcW w:type="dxa" w:w="1800"/>
            <w:tcBorders>
              <w:top w:val="single" w:color="E4E7EE" w:sz="1"/>
              <w:left w:val="single" w:color="E4E7EE" w:sz="1"/>
              <w:bottom w:val="single" w:color="E4E7EE" w:sz="1"/>
              <w:right w:val="single" w:color="E4E7EE" w:sz="1"/>
            </w:tcBorders>
            <w:shd w:fill="12141A" w:val="clear"/>
            <w:tcMar>
              <w:top w:type="dxa" w:w="100"/>
              <w:left w:type="dxa" w:w="140"/>
              <w:bottom w:type="dxa" w:w="100"/>
              <w:right w:type="dxa" w:w="140"/>
            </w:tcMar>
            <w:vAlign w:val="center"/>
          </w:tcPr>
          <w:p>
            <w:pPr>
              <w:jc w:val="center"/>
            </w:pPr>
            <w:r>
              <w:rPr>
                <w:rFonts w:ascii="Consolas" w:cs="Consolas" w:eastAsia="Consolas" w:hAnsi="Consolas"/>
                <w:b/>
                <w:bCs/>
                <w:color w:val="FFFFFF"/>
                <w:sz w:val="20"/>
                <w:szCs w:val="20"/>
              </w:rPr>
              <w:t xml:space="preserve">#12141A</w:t>
            </w:r>
          </w:p>
        </w:tc>
        <w:tc>
          <w:tcPr>
            <w:tcW w:type="dxa" w:w="1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Consolas" w:cs="Consolas" w:eastAsia="Consolas" w:hAnsi="Consolas"/>
                <w:b w:val="false"/>
                <w:bCs w:val="false"/>
                <w:color w:val="0B0C10"/>
                <w:sz w:val="20"/>
                <w:szCs w:val="20"/>
              </w:rPr>
              <w:t xml:space="preserve">#12141A</w:t>
            </w:r>
          </w:p>
        </w:tc>
        <w:tc>
          <w:tcPr>
            <w:tcW w:type="dxa" w:w="36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Cards and panels on dark backgrounds</w:t>
            </w:r>
          </w:p>
        </w:tc>
      </w:tr>
      <w:tr>
        <w:tc>
          <w:tcPr>
            <w:tcW w:type="dxa" w:w="22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Blue (accent)</w:t>
            </w:r>
          </w:p>
        </w:tc>
        <w:tc>
          <w:tcPr>
            <w:tcW w:type="dxa" w:w="1800"/>
            <w:tcBorders>
              <w:top w:val="single" w:color="E4E7EE" w:sz="1"/>
              <w:left w:val="single" w:color="E4E7EE" w:sz="1"/>
              <w:bottom w:val="single" w:color="E4E7EE" w:sz="1"/>
              <w:right w:val="single" w:color="E4E7EE" w:sz="1"/>
            </w:tcBorders>
            <w:shd w:fill="2563EB" w:val="clear"/>
            <w:tcMar>
              <w:top w:type="dxa" w:w="100"/>
              <w:left w:type="dxa" w:w="140"/>
              <w:bottom w:type="dxa" w:w="100"/>
              <w:right w:type="dxa" w:w="140"/>
            </w:tcMar>
            <w:vAlign w:val="center"/>
          </w:tcPr>
          <w:p>
            <w:pPr>
              <w:jc w:val="center"/>
            </w:pPr>
            <w:r>
              <w:rPr>
                <w:rFonts w:ascii="Consolas" w:cs="Consolas" w:eastAsia="Consolas" w:hAnsi="Consolas"/>
                <w:b/>
                <w:bCs/>
                <w:color w:val="FFFFFF"/>
                <w:sz w:val="20"/>
                <w:szCs w:val="20"/>
              </w:rPr>
              <w:t xml:space="preserve">#2563EB</w:t>
            </w:r>
          </w:p>
        </w:tc>
        <w:tc>
          <w:tcPr>
            <w:tcW w:type="dxa" w:w="1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Consolas" w:cs="Consolas" w:eastAsia="Consolas" w:hAnsi="Consolas"/>
                <w:b w:val="false"/>
                <w:bCs w:val="false"/>
                <w:color w:val="0B0C10"/>
                <w:sz w:val="20"/>
                <w:szCs w:val="20"/>
              </w:rPr>
              <w:t xml:space="preserve">#2563EB</w:t>
            </w:r>
          </w:p>
        </w:tc>
        <w:tc>
          <w:tcPr>
            <w:tcW w:type="dxa" w:w="36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Buttons, links, emphasis; gradient end</w:t>
            </w:r>
          </w:p>
        </w:tc>
      </w:tr>
      <w:tr>
        <w:tc>
          <w:tcPr>
            <w:tcW w:type="dxa" w:w="22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Cyan (highlight)</w:t>
            </w:r>
          </w:p>
        </w:tc>
        <w:tc>
          <w:tcPr>
            <w:tcW w:type="dxa" w:w="1800"/>
            <w:tcBorders>
              <w:top w:val="single" w:color="E4E7EE" w:sz="1"/>
              <w:left w:val="single" w:color="E4E7EE" w:sz="1"/>
              <w:bottom w:val="single" w:color="E4E7EE" w:sz="1"/>
              <w:right w:val="single" w:color="E4E7EE" w:sz="1"/>
            </w:tcBorders>
            <w:shd w:fill="2DD4FF" w:val="clear"/>
            <w:tcMar>
              <w:top w:type="dxa" w:w="100"/>
              <w:left w:type="dxa" w:w="140"/>
              <w:bottom w:type="dxa" w:w="100"/>
              <w:right w:type="dxa" w:w="140"/>
            </w:tcMar>
            <w:vAlign w:val="center"/>
          </w:tcPr>
          <w:p>
            <w:pPr>
              <w:jc w:val="center"/>
            </w:pPr>
            <w:r>
              <w:rPr>
                <w:rFonts w:ascii="Consolas" w:cs="Consolas" w:eastAsia="Consolas" w:hAnsi="Consolas"/>
                <w:b/>
                <w:bCs/>
                <w:color w:val="0B0C10"/>
                <w:sz w:val="20"/>
                <w:szCs w:val="20"/>
              </w:rPr>
              <w:t xml:space="preserve">#2DD4FF</w:t>
            </w:r>
          </w:p>
        </w:tc>
        <w:tc>
          <w:tcPr>
            <w:tcW w:type="dxa" w:w="1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Consolas" w:cs="Consolas" w:eastAsia="Consolas" w:hAnsi="Consolas"/>
                <w:b w:val="false"/>
                <w:bCs w:val="false"/>
                <w:color w:val="0B0C10"/>
                <w:sz w:val="20"/>
                <w:szCs w:val="20"/>
              </w:rPr>
              <w:t xml:space="preserve">#2DD4FF</w:t>
            </w:r>
          </w:p>
        </w:tc>
        <w:tc>
          <w:tcPr>
            <w:tcW w:type="dxa" w:w="36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Eyebrow labels, accent bars, glows; gradient start</w:t>
            </w:r>
          </w:p>
        </w:tc>
      </w:tr>
      <w:tr>
        <w:tc>
          <w:tcPr>
            <w:tcW w:type="dxa" w:w="22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White (base)</w:t>
            </w:r>
          </w:p>
        </w:tc>
        <w:tc>
          <w:tcPr>
            <w:tcW w:type="dxa" w:w="1800"/>
            <w:tcBorders>
              <w:top w:val="single" w:color="E4E7EE" w:sz="1"/>
              <w:left w:val="single" w:color="E4E7EE" w:sz="1"/>
              <w:bottom w:val="single" w:color="E4E7EE" w:sz="1"/>
              <w:right w:val="single" w:color="E4E7EE" w:sz="1"/>
            </w:tcBorders>
            <w:shd w:fill="FFFFFF" w:val="clear"/>
            <w:tcMar>
              <w:top w:type="dxa" w:w="100"/>
              <w:left w:type="dxa" w:w="140"/>
              <w:bottom w:type="dxa" w:w="100"/>
              <w:right w:type="dxa" w:w="140"/>
            </w:tcMar>
            <w:vAlign w:val="center"/>
          </w:tcPr>
          <w:p>
            <w:pPr>
              <w:jc w:val="center"/>
            </w:pPr>
            <w:r>
              <w:rPr>
                <w:rFonts w:ascii="Consolas" w:cs="Consolas" w:eastAsia="Consolas" w:hAnsi="Consolas"/>
                <w:b/>
                <w:bCs/>
                <w:color w:val="0B0C10"/>
                <w:sz w:val="20"/>
                <w:szCs w:val="20"/>
              </w:rPr>
              <w:t xml:space="preserve">#FFFFFF</w:t>
            </w:r>
          </w:p>
        </w:tc>
        <w:tc>
          <w:tcPr>
            <w:tcW w:type="dxa" w:w="1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Consolas" w:cs="Consolas" w:eastAsia="Consolas" w:hAnsi="Consolas"/>
                <w:b w:val="false"/>
                <w:bCs w:val="false"/>
                <w:color w:val="0B0C10"/>
                <w:sz w:val="20"/>
                <w:szCs w:val="20"/>
              </w:rPr>
              <w:t xml:space="preserve">#FFFFFF</w:t>
            </w:r>
          </w:p>
        </w:tc>
        <w:tc>
          <w:tcPr>
            <w:tcW w:type="dxa" w:w="36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Light section backgrounds</w:t>
            </w:r>
          </w:p>
        </w:tc>
      </w:tr>
    </w:tbl>
    <w:p>
      <w:pPr>
        <w:spacing w:after="160"/>
      </w:pPr>
      <w:r>
        <w:rPr>
          <w:rFonts w:ascii="Arial" w:cs="Arial" w:eastAsia="Arial" w:hAnsi="Arial"/>
          <w:b w:val="false"/>
          <w:bCs w:val="false"/>
          <w:i w:val="false"/>
          <w:iCs w:val="false"/>
          <w:color w:val="0B0C10"/>
          <w:sz w:val="21"/>
          <w:szCs w:val="21"/>
        </w:rPr>
        <w:t xml:space="preserve"/>
      </w:r>
    </w:p>
    <w:p>
      <w:pPr>
        <w:spacing w:after="100"/>
      </w:pPr>
      <w:r>
        <w:rPr>
          <w:rFonts w:ascii="Arial" w:cs="Arial" w:eastAsia="Arial" w:hAnsi="Arial"/>
          <w:b/>
          <w:bCs/>
          <w:i w:val="false"/>
          <w:iCs w:val="false"/>
          <w:color w:val="0B0C10"/>
          <w:sz w:val="21"/>
          <w:szCs w:val="21"/>
        </w:rPr>
        <w:t xml:space="preserve">Supporting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700"/>
        <w:gridCol w:w="3660"/>
      </w:tblGrid>
      <w:tr>
        <w:tc>
          <w:tcPr>
            <w:tcW w:type="dxa" w:w="220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Name / role</w:t>
            </w:r>
          </w:p>
        </w:tc>
        <w:tc>
          <w:tcPr>
            <w:tcW w:type="dxa" w:w="180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Swatch</w:t>
            </w:r>
          </w:p>
        </w:tc>
        <w:tc>
          <w:tcPr>
            <w:tcW w:type="dxa" w:w="170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Hex</w:t>
            </w:r>
          </w:p>
        </w:tc>
        <w:tc>
          <w:tcPr>
            <w:tcW w:type="dxa" w:w="366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Usage</w:t>
            </w:r>
          </w:p>
        </w:tc>
      </w:tr>
      <w:tr>
        <w:tc>
          <w:tcPr>
            <w:tcW w:type="dxa" w:w="22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Alt background</w:t>
            </w:r>
          </w:p>
        </w:tc>
        <w:tc>
          <w:tcPr>
            <w:tcW w:type="dxa" w:w="1800"/>
            <w:tcBorders>
              <w:top w:val="single" w:color="E4E7EE" w:sz="1"/>
              <w:left w:val="single" w:color="E4E7EE" w:sz="1"/>
              <w:bottom w:val="single" w:color="E4E7EE" w:sz="1"/>
              <w:right w:val="single" w:color="E4E7EE" w:sz="1"/>
            </w:tcBorders>
            <w:shd w:fill="F8F9FB" w:val="clear"/>
            <w:tcMar>
              <w:top w:type="dxa" w:w="100"/>
              <w:left w:type="dxa" w:w="140"/>
              <w:bottom w:type="dxa" w:w="100"/>
              <w:right w:type="dxa" w:w="140"/>
            </w:tcMar>
            <w:vAlign w:val="center"/>
          </w:tcPr>
          <w:p>
            <w:pPr>
              <w:jc w:val="center"/>
            </w:pPr>
            <w:r>
              <w:rPr>
                <w:rFonts w:ascii="Consolas" w:cs="Consolas" w:eastAsia="Consolas" w:hAnsi="Consolas"/>
                <w:b/>
                <w:bCs/>
                <w:color w:val="0B0C10"/>
                <w:sz w:val="20"/>
                <w:szCs w:val="20"/>
              </w:rPr>
              <w:t xml:space="preserve">#F8F9FB</w:t>
            </w:r>
          </w:p>
        </w:tc>
        <w:tc>
          <w:tcPr>
            <w:tcW w:type="dxa" w:w="1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Consolas" w:cs="Consolas" w:eastAsia="Consolas" w:hAnsi="Consolas"/>
                <w:b w:val="false"/>
                <w:bCs w:val="false"/>
                <w:color w:val="0B0C10"/>
                <w:sz w:val="20"/>
                <w:szCs w:val="20"/>
              </w:rPr>
              <w:t xml:space="preserve">#F8F9FB</w:t>
            </w:r>
          </w:p>
        </w:tc>
        <w:tc>
          <w:tcPr>
            <w:tcW w:type="dxa" w:w="36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Alternating light sections, table fills</w:t>
            </w:r>
          </w:p>
        </w:tc>
      </w:tr>
      <w:tr>
        <w:tc>
          <w:tcPr>
            <w:tcW w:type="dxa" w:w="22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Accent tint</w:t>
            </w:r>
          </w:p>
        </w:tc>
        <w:tc>
          <w:tcPr>
            <w:tcW w:type="dxa" w:w="1800"/>
            <w:tcBorders>
              <w:top w:val="single" w:color="E4E7EE" w:sz="1"/>
              <w:left w:val="single" w:color="E4E7EE" w:sz="1"/>
              <w:bottom w:val="single" w:color="E4E7EE" w:sz="1"/>
              <w:right w:val="single" w:color="E4E7EE" w:sz="1"/>
            </w:tcBorders>
            <w:shd w:fill="EFF6FF" w:val="clear"/>
            <w:tcMar>
              <w:top w:type="dxa" w:w="100"/>
              <w:left w:type="dxa" w:w="140"/>
              <w:bottom w:type="dxa" w:w="100"/>
              <w:right w:type="dxa" w:w="140"/>
            </w:tcMar>
            <w:vAlign w:val="center"/>
          </w:tcPr>
          <w:p>
            <w:pPr>
              <w:jc w:val="center"/>
            </w:pPr>
            <w:r>
              <w:rPr>
                <w:rFonts w:ascii="Consolas" w:cs="Consolas" w:eastAsia="Consolas" w:hAnsi="Consolas"/>
                <w:b/>
                <w:bCs/>
                <w:color w:val="0B0C10"/>
                <w:sz w:val="20"/>
                <w:szCs w:val="20"/>
              </w:rPr>
              <w:t xml:space="preserve">#EFF6FF</w:t>
            </w:r>
          </w:p>
        </w:tc>
        <w:tc>
          <w:tcPr>
            <w:tcW w:type="dxa" w:w="1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Consolas" w:cs="Consolas" w:eastAsia="Consolas" w:hAnsi="Consolas"/>
                <w:b w:val="false"/>
                <w:bCs w:val="false"/>
                <w:color w:val="0B0C10"/>
                <w:sz w:val="20"/>
                <w:szCs w:val="20"/>
              </w:rPr>
              <w:t xml:space="preserve">#EFF6FF</w:t>
            </w:r>
          </w:p>
        </w:tc>
        <w:tc>
          <w:tcPr>
            <w:tcW w:type="dxa" w:w="36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Soft blue fill behind accent content</w:t>
            </w:r>
          </w:p>
        </w:tc>
      </w:tr>
      <w:tr>
        <w:tc>
          <w:tcPr>
            <w:tcW w:type="dxa" w:w="22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Border</w:t>
            </w:r>
          </w:p>
        </w:tc>
        <w:tc>
          <w:tcPr>
            <w:tcW w:type="dxa" w:w="1800"/>
            <w:tcBorders>
              <w:top w:val="single" w:color="E4E7EE" w:sz="1"/>
              <w:left w:val="single" w:color="E4E7EE" w:sz="1"/>
              <w:bottom w:val="single" w:color="E4E7EE" w:sz="1"/>
              <w:right w:val="single" w:color="E4E7EE" w:sz="1"/>
            </w:tcBorders>
            <w:shd w:fill="E4E7EE" w:val="clear"/>
            <w:tcMar>
              <w:top w:type="dxa" w:w="100"/>
              <w:left w:type="dxa" w:w="140"/>
              <w:bottom w:type="dxa" w:w="100"/>
              <w:right w:type="dxa" w:w="140"/>
            </w:tcMar>
            <w:vAlign w:val="center"/>
          </w:tcPr>
          <w:p>
            <w:pPr>
              <w:jc w:val="center"/>
            </w:pPr>
            <w:r>
              <w:rPr>
                <w:rFonts w:ascii="Consolas" w:cs="Consolas" w:eastAsia="Consolas" w:hAnsi="Consolas"/>
                <w:b/>
                <w:bCs/>
                <w:color w:val="0B0C10"/>
                <w:sz w:val="20"/>
                <w:szCs w:val="20"/>
              </w:rPr>
              <w:t xml:space="preserve">#E4E7EE</w:t>
            </w:r>
          </w:p>
        </w:tc>
        <w:tc>
          <w:tcPr>
            <w:tcW w:type="dxa" w:w="1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Consolas" w:cs="Consolas" w:eastAsia="Consolas" w:hAnsi="Consolas"/>
                <w:b w:val="false"/>
                <w:bCs w:val="false"/>
                <w:color w:val="0B0C10"/>
                <w:sz w:val="20"/>
                <w:szCs w:val="20"/>
              </w:rPr>
              <w:t xml:space="preserve">#E4E7EE</w:t>
            </w:r>
          </w:p>
        </w:tc>
        <w:tc>
          <w:tcPr>
            <w:tcW w:type="dxa" w:w="36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Card and divider lines on light surfaces</w:t>
            </w:r>
          </w:p>
        </w:tc>
      </w:tr>
      <w:tr>
        <w:tc>
          <w:tcPr>
            <w:tcW w:type="dxa" w:w="22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Muted text</w:t>
            </w:r>
          </w:p>
        </w:tc>
        <w:tc>
          <w:tcPr>
            <w:tcW w:type="dxa" w:w="1800"/>
            <w:tcBorders>
              <w:top w:val="single" w:color="E4E7EE" w:sz="1"/>
              <w:left w:val="single" w:color="E4E7EE" w:sz="1"/>
              <w:bottom w:val="single" w:color="E4E7EE" w:sz="1"/>
              <w:right w:val="single" w:color="E4E7EE" w:sz="1"/>
            </w:tcBorders>
            <w:shd w:fill="64748B" w:val="clear"/>
            <w:tcMar>
              <w:top w:type="dxa" w:w="100"/>
              <w:left w:type="dxa" w:w="140"/>
              <w:bottom w:type="dxa" w:w="100"/>
              <w:right w:type="dxa" w:w="140"/>
            </w:tcMar>
            <w:vAlign w:val="center"/>
          </w:tcPr>
          <w:p>
            <w:pPr>
              <w:jc w:val="center"/>
            </w:pPr>
            <w:r>
              <w:rPr>
                <w:rFonts w:ascii="Consolas" w:cs="Consolas" w:eastAsia="Consolas" w:hAnsi="Consolas"/>
                <w:b/>
                <w:bCs/>
                <w:color w:val="FFFFFF"/>
                <w:sz w:val="20"/>
                <w:szCs w:val="20"/>
              </w:rPr>
              <w:t xml:space="preserve">#64748B</w:t>
            </w:r>
          </w:p>
        </w:tc>
        <w:tc>
          <w:tcPr>
            <w:tcW w:type="dxa" w:w="1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Consolas" w:cs="Consolas" w:eastAsia="Consolas" w:hAnsi="Consolas"/>
                <w:b w:val="false"/>
                <w:bCs w:val="false"/>
                <w:color w:val="0B0C10"/>
                <w:sz w:val="20"/>
                <w:szCs w:val="20"/>
              </w:rPr>
              <w:t xml:space="preserve">#64748B</w:t>
            </w:r>
          </w:p>
        </w:tc>
        <w:tc>
          <w:tcPr>
            <w:tcW w:type="dxa" w:w="36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Secondary text on light surfaces</w:t>
            </w:r>
          </w:p>
        </w:tc>
      </w:tr>
    </w:tbl>
    <w:p>
      <w:pPr>
        <w:spacing w:after="160"/>
      </w:pPr>
      <w:r>
        <w:rPr>
          <w:rFonts w:ascii="Arial" w:cs="Arial" w:eastAsia="Arial" w:hAnsi="Arial"/>
          <w:b w:val="false"/>
          <w:bCs w:val="false"/>
          <w:i w:val="false"/>
          <w:iCs w:val="false"/>
          <w:color w:val="0B0C10"/>
          <w:sz w:val="21"/>
          <w:szCs w:val="21"/>
        </w:rPr>
        <w:t xml:space="preserve"/>
      </w:r>
    </w:p>
    <w:p>
      <w:pPr>
        <w:spacing w:after="160"/>
      </w:pPr>
      <w:r>
        <w:rPr>
          <w:rFonts w:ascii="Arial" w:cs="Arial" w:eastAsia="Arial" w:hAnsi="Arial"/>
          <w:b w:val="false"/>
          <w:bCs w:val="false"/>
          <w:i w:val="false"/>
          <w:iCs w:val="false"/>
          <w:color w:val="0B0C10"/>
          <w:sz w:val="21"/>
          <w:szCs w:val="21"/>
        </w:rPr>
        <w:t xml:space="preserve">Dark-surface conventions: on dark backgrounds, use white at reduced opacity rather than gray hexes: 75% for lead paragraphs, 65% for card body text, 50% for subtitles. Card surfaces are white at 4% with a 1px white 8% border.</w:t>
      </w:r>
    </w:p>
    <w:p>
      <w:pPr>
        <w:spacing w:after="160"/>
      </w:pPr>
      <w:r>
        <w:rPr>
          <w:rFonts w:ascii="Arial" w:cs="Arial" w:eastAsia="Arial" w:hAnsi="Arial"/>
          <w:b w:val="false"/>
          <w:bCs w:val="false"/>
          <w:i w:val="false"/>
          <w:iCs w:val="false"/>
          <w:color w:val="0B0C10"/>
          <w:sz w:val="21"/>
          <w:szCs w:val="21"/>
        </w:rPr>
        <w:t xml:space="preserve">Weighting: roughly 60-70% neutral (near-black or White), 20-30% supporting tones, Cyan and Blue as sharp accents. Cyan is a highlighter, not a background: small doses only (labels, 4px bars, glows), never large fills.</w:t>
      </w:r>
    </w:p>
    <w:p>
      <w:r>
        <w:br w:type="page"/>
      </w:r>
    </w:p>
    <w:p>
      <w:pPr>
        <w:pStyle w:val="Heading1"/>
        <w:spacing w:after="160" w:before="300"/>
      </w:pPr>
      <w:r>
        <w:rPr>
          <w:rFonts w:ascii="Arial" w:cs="Arial" w:eastAsia="Arial" w:hAnsi="Arial"/>
          <w:b/>
          <w:bCs/>
          <w:color w:val="0B0C10"/>
          <w:sz w:val="30"/>
          <w:szCs w:val="30"/>
        </w:rPr>
        <w:t xml:space="preserve">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300"/>
        <w:gridCol w:w="3660"/>
      </w:tblGrid>
      <w:tr>
        <w:tc>
          <w:tcPr>
            <w:tcW w:type="dxa" w:w="270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Element</w:t>
            </w:r>
          </w:p>
        </w:tc>
        <w:tc>
          <w:tcPr>
            <w:tcW w:type="dxa" w:w="170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Font</w:t>
            </w:r>
          </w:p>
        </w:tc>
        <w:tc>
          <w:tcPr>
            <w:tcW w:type="dxa" w:w="130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Weight</w:t>
            </w:r>
          </w:p>
        </w:tc>
        <w:tc>
          <w:tcPr>
            <w:tcW w:type="dxa" w:w="366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Case and tracking</w:t>
            </w:r>
          </w:p>
        </w:tc>
      </w:tr>
      <w:tr>
        <w:tc>
          <w:tcPr>
            <w:tcW w:type="dxa" w:w="2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Wordmark, display headlines</w:t>
            </w:r>
          </w:p>
        </w:tc>
        <w:tc>
          <w:tcPr>
            <w:tcW w:type="dxa" w:w="1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Manrope</w:t>
            </w:r>
          </w:p>
        </w:tc>
        <w:tc>
          <w:tcPr>
            <w:tcW w:type="dxa" w:w="13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800</w:t>
            </w:r>
          </w:p>
        </w:tc>
        <w:tc>
          <w:tcPr>
            <w:tcW w:type="dxa" w:w="36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Tight tracking (-0.02 to -0.04em); hero lines may be ALL CAPS</w:t>
            </w:r>
          </w:p>
        </w:tc>
      </w:tr>
      <w:tr>
        <w:tc>
          <w:tcPr>
            <w:tcW w:type="dxa" w:w="2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Section titles</w:t>
            </w:r>
          </w:p>
        </w:tc>
        <w:tc>
          <w:tcPr>
            <w:tcW w:type="dxa" w:w="1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Manrope</w:t>
            </w:r>
          </w:p>
        </w:tc>
        <w:tc>
          <w:tcPr>
            <w:tcW w:type="dxa" w:w="13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800</w:t>
            </w:r>
          </w:p>
        </w:tc>
        <w:tc>
          <w:tcPr>
            <w:tcW w:type="dxa" w:w="36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Sentence case, -0.02em</w:t>
            </w:r>
          </w:p>
        </w:tc>
      </w:tr>
      <w:tr>
        <w:tc>
          <w:tcPr>
            <w:tcW w:type="dxa" w:w="2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Eyebrow labels</w:t>
            </w:r>
          </w:p>
        </w:tc>
        <w:tc>
          <w:tcPr>
            <w:tcW w:type="dxa" w:w="1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Inter / system</w:t>
            </w:r>
          </w:p>
        </w:tc>
        <w:tc>
          <w:tcPr>
            <w:tcW w:type="dxa" w:w="13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600</w:t>
            </w:r>
          </w:p>
        </w:tc>
        <w:tc>
          <w:tcPr>
            <w:tcW w:type="dxa" w:w="36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ALL CAPS, wide tracking (0.12-0.18em), Cyan</w:t>
            </w:r>
          </w:p>
        </w:tc>
      </w:tr>
      <w:tr>
        <w:tc>
          <w:tcPr>
            <w:tcW w:type="dxa" w:w="2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Card titles</w:t>
            </w:r>
          </w:p>
        </w:tc>
        <w:tc>
          <w:tcPr>
            <w:tcW w:type="dxa" w:w="1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Inter / system</w:t>
            </w:r>
          </w:p>
        </w:tc>
        <w:tc>
          <w:tcPr>
            <w:tcW w:type="dxa" w:w="13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700</w:t>
            </w:r>
          </w:p>
        </w:tc>
        <w:tc>
          <w:tcPr>
            <w:tcW w:type="dxa" w:w="36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Sentence case</w:t>
            </w:r>
          </w:p>
        </w:tc>
      </w:tr>
      <w:tr>
        <w:tc>
          <w:tcPr>
            <w:tcW w:type="dxa" w:w="2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Body</w:t>
            </w:r>
          </w:p>
        </w:tc>
        <w:tc>
          <w:tcPr>
            <w:tcW w:type="dxa" w:w="1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Inter / system</w:t>
            </w:r>
          </w:p>
        </w:tc>
        <w:tc>
          <w:tcPr>
            <w:tcW w:type="dxa" w:w="13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400</w:t>
            </w:r>
          </w:p>
        </w:tc>
        <w:tc>
          <w:tcPr>
            <w:tcW w:type="dxa" w:w="36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Line-height 1.7; #64748B for secondary text</w:t>
            </w:r>
          </w:p>
        </w:tc>
      </w:tr>
    </w:tbl>
    <w:p>
      <w:pPr>
        <w:spacing w:after="160"/>
      </w:pPr>
      <w:r>
        <w:rPr>
          <w:rFonts w:ascii="Arial" w:cs="Arial" w:eastAsia="Arial" w:hAnsi="Arial"/>
          <w:b w:val="false"/>
          <w:bCs w:val="false"/>
          <w:i w:val="false"/>
          <w:iCs w:val="false"/>
          <w:color w:val="0B0C10"/>
          <w:sz w:val="21"/>
          <w:szCs w:val="21"/>
        </w:rPr>
        <w:t xml:space="preserve"/>
      </w:r>
    </w:p>
    <w:p>
      <w:pPr>
        <w:spacing w:after="160"/>
      </w:pPr>
      <w:r>
        <w:rPr>
          <w:rFonts w:ascii="Arial" w:cs="Arial" w:eastAsia="Arial" w:hAnsi="Arial"/>
          <w:b w:val="false"/>
          <w:bCs w:val="false"/>
          <w:i w:val="false"/>
          <w:iCs w:val="false"/>
          <w:color w:val="0B0C10"/>
          <w:sz w:val="21"/>
          <w:szCs w:val="21"/>
        </w:rPr>
        <w:t xml:space="preserve">Decided June 5, 2026: the brand pair is Manrope (display) + Inter (body). The site currently declares Inter without loading it, so the website gets fixed to match: add the Inter Google Fonts link to each HTML page, with the CSS stack set to 'Inter', -apple-system, BlinkMacSystemFont, 'Segoe UI', sans-serif. Where Inter is unavailable (desktop Office files on machines without it installed), the fallback is the system sans; in Google Slides and Docs, Inter is available natively.</w:t>
      </w:r>
    </w:p>
    <w:p>
      <w:pPr>
        <w:pStyle w:val="Heading1"/>
        <w:spacing w:after="160" w:before="300"/>
      </w:pPr>
      <w:r>
        <w:rPr>
          <w:rFonts w:ascii="Arial" w:cs="Arial" w:eastAsia="Arial" w:hAnsi="Arial"/>
          <w:b/>
          <w:bCs/>
          <w:color w:val="0B0C10"/>
          <w:sz w:val="30"/>
          <w:szCs w:val="30"/>
        </w:rPr>
        <w:t xml:space="preserve">4. Signature motifs</w:t>
      </w:r>
    </w:p>
    <w:p>
      <w:pPr>
        <w:pStyle w:val="ListParagraph"/>
        <w:numPr>
          <w:ilvl w:val="0"/>
          <w:numId w:val="2"/>
        </w:numPr>
        <w:spacing w:after="100"/>
      </w:pPr>
      <w:r>
        <w:rPr>
          <w:rFonts w:ascii="Arial" w:cs="Arial" w:eastAsia="Arial" w:hAnsi="Arial"/>
          <w:b/>
          <w:bCs/>
          <w:color w:val="0B0C10"/>
          <w:sz w:val="21"/>
          <w:szCs w:val="21"/>
        </w:rPr>
        <w:t xml:space="preserve">Eyebrow labels: </w:t>
      </w:r>
      <w:r>
        <w:rPr>
          <w:rFonts w:ascii="Arial" w:cs="Arial" w:eastAsia="Arial" w:hAnsi="Arial"/>
          <w:color w:val="0B0C10"/>
          <w:sz w:val="21"/>
          <w:szCs w:val="21"/>
        </w:rPr>
        <w:t xml:space="preserve">small cyan ALL CAPS label above titles, with either a 24px cyan dash to its left or a rounded pill outline (cyan 8% fill, 20% border).</w:t>
      </w:r>
    </w:p>
    <w:p>
      <w:pPr>
        <w:pStyle w:val="ListParagraph"/>
        <w:numPr>
          <w:ilvl w:val="0"/>
          <w:numId w:val="2"/>
        </w:numPr>
        <w:spacing w:after="100"/>
      </w:pPr>
      <w:r>
        <w:rPr>
          <w:rFonts w:ascii="Arial" w:cs="Arial" w:eastAsia="Arial" w:hAnsi="Arial"/>
          <w:b/>
          <w:bCs/>
          <w:color w:val="0B0C10"/>
          <w:sz w:val="21"/>
          <w:szCs w:val="21"/>
        </w:rPr>
        <w:t xml:space="preserve">Pill buttons: </w:t>
      </w:r>
      <w:r>
        <w:rPr>
          <w:rFonts w:ascii="Arial" w:cs="Arial" w:eastAsia="Arial" w:hAnsi="Arial"/>
          <w:color w:val="0B0C10"/>
          <w:sz w:val="21"/>
          <w:szCs w:val="21"/>
        </w:rPr>
        <w:t xml:space="preserve">fully rounded (100px radius), Blue fill, white 600-weight text.</w:t>
      </w:r>
    </w:p>
    <w:p>
      <w:pPr>
        <w:pStyle w:val="ListParagraph"/>
        <w:numPr>
          <w:ilvl w:val="0"/>
          <w:numId w:val="2"/>
        </w:numPr>
        <w:spacing w:after="100"/>
      </w:pPr>
      <w:r>
        <w:rPr>
          <w:rFonts w:ascii="Arial" w:cs="Arial" w:eastAsia="Arial" w:hAnsi="Arial"/>
          <w:b/>
          <w:bCs/>
          <w:color w:val="0B0C10"/>
          <w:sz w:val="21"/>
          <w:szCs w:val="21"/>
        </w:rPr>
        <w:t xml:space="preserve">Cards: </w:t>
      </w:r>
      <w:r>
        <w:rPr>
          <w:rFonts w:ascii="Arial" w:cs="Arial" w:eastAsia="Arial" w:hAnsi="Arial"/>
          <w:color w:val="0B0C10"/>
          <w:sz w:val="21"/>
          <w:szCs w:val="21"/>
        </w:rPr>
        <w:t xml:space="preserve">8px corner radius, 1px subtle border, generous padding. No heavy drop shadows.</w:t>
      </w:r>
    </w:p>
    <w:p>
      <w:pPr>
        <w:pStyle w:val="ListParagraph"/>
        <w:numPr>
          <w:ilvl w:val="0"/>
          <w:numId w:val="2"/>
        </w:numPr>
        <w:spacing w:after="100"/>
      </w:pPr>
      <w:r>
        <w:rPr>
          <w:rFonts w:ascii="Arial" w:cs="Arial" w:eastAsia="Arial" w:hAnsi="Arial"/>
          <w:b/>
          <w:bCs/>
          <w:color w:val="0B0C10"/>
          <w:sz w:val="21"/>
          <w:szCs w:val="21"/>
        </w:rPr>
        <w:t xml:space="preserve">Cyan accent bar: </w:t>
      </w:r>
      <w:r>
        <w:rPr>
          <w:rFonts w:ascii="Arial" w:cs="Arial" w:eastAsia="Arial" w:hAnsi="Arial"/>
          <w:color w:val="0B0C10"/>
          <w:sz w:val="21"/>
          <w:szCs w:val="21"/>
        </w:rPr>
        <w:t xml:space="preserve">4px vertical Cyan bar on the left edge of featured panels.</w:t>
      </w:r>
    </w:p>
    <w:p>
      <w:pPr>
        <w:pStyle w:val="ListParagraph"/>
        <w:numPr>
          <w:ilvl w:val="0"/>
          <w:numId w:val="2"/>
        </w:numPr>
        <w:spacing w:after="100"/>
      </w:pPr>
      <w:r>
        <w:rPr>
          <w:rFonts w:ascii="Arial" w:cs="Arial" w:eastAsia="Arial" w:hAnsi="Arial"/>
          <w:b/>
          <w:bCs/>
          <w:color w:val="0B0C10"/>
          <w:sz w:val="21"/>
          <w:szCs w:val="21"/>
        </w:rPr>
        <w:t xml:space="preserve">Dark texture: </w:t>
      </w:r>
      <w:r>
        <w:rPr>
          <w:rFonts w:ascii="Arial" w:cs="Arial" w:eastAsia="Arial" w:hAnsi="Arial"/>
          <w:color w:val="0B0C10"/>
          <w:sz w:val="21"/>
          <w:szCs w:val="21"/>
        </w:rPr>
        <w:t xml:space="preserve">subtle 60px grid lines (white at 2.5%) plus a soft radial glow blending Cyan into Blue. Hero and cover surfaces only.</w:t>
      </w:r>
    </w:p>
    <w:p>
      <w:pPr>
        <w:pStyle w:val="ListParagraph"/>
        <w:numPr>
          <w:ilvl w:val="0"/>
          <w:numId w:val="2"/>
        </w:numPr>
        <w:spacing w:after="100"/>
      </w:pPr>
      <w:r>
        <w:rPr>
          <w:rFonts w:ascii="Arial" w:cs="Arial" w:eastAsia="Arial" w:hAnsi="Arial"/>
          <w:b/>
          <w:bCs/>
          <w:color w:val="0B0C10"/>
          <w:sz w:val="21"/>
          <w:szCs w:val="21"/>
        </w:rPr>
        <w:t xml:space="preserve">Sandwich structure: </w:t>
      </w:r>
      <w:r>
        <w:rPr>
          <w:rFonts w:ascii="Arial" w:cs="Arial" w:eastAsia="Arial" w:hAnsi="Arial"/>
          <w:color w:val="0B0C10"/>
          <w:sz w:val="21"/>
          <w:szCs w:val="21"/>
        </w:rPr>
        <w:t xml:space="preserve">dark for opening and closing moments; White and #F8F9FB alternating between.</w:t>
      </w:r>
    </w:p>
    <w:p>
      <w:r>
        <w:br w:type="page"/>
      </w:r>
    </w:p>
    <w:p>
      <w:pPr>
        <w:pStyle w:val="Heading1"/>
        <w:spacing w:after="160" w:before="300"/>
      </w:pPr>
      <w:r>
        <w:rPr>
          <w:rFonts w:ascii="Arial" w:cs="Arial" w:eastAsia="Arial" w:hAnsi="Arial"/>
          <w:b/>
          <w:bCs/>
          <w:color w:val="0B0C10"/>
          <w:sz w:val="30"/>
          <w:szCs w:val="30"/>
        </w:rPr>
        <w:t xml:space="preserve">5. Slide translation (for the template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Element</w:t>
            </w:r>
          </w:p>
        </w:tc>
        <w:tc>
          <w:tcPr>
            <w:tcW w:type="dxa" w:w="626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Spec</w:t>
            </w:r>
          </w:p>
        </w:tc>
      </w:tr>
      <w:tr>
        <w:tc>
          <w:tcPr>
            <w:tcW w:type="dxa" w:w="31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Format</w:t>
            </w:r>
          </w:p>
        </w:tc>
        <w:tc>
          <w:tcPr>
            <w:tcW w:type="dxa" w:w="62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16:9 widescreen</w:t>
            </w:r>
          </w:p>
        </w:tc>
      </w:tr>
      <w:tr>
        <w:tc>
          <w:tcPr>
            <w:tcW w:type="dxa" w:w="31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Cover / closing slides</w:t>
            </w:r>
          </w:p>
        </w:tc>
        <w:tc>
          <w:tcPr>
            <w:tcW w:type="dxa" w:w="62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Near-black background, subtle grid + cyan glow, wordmark, white display title</w:t>
            </w:r>
          </w:p>
        </w:tc>
      </w:tr>
      <w:tr>
        <w:tc>
          <w:tcPr>
            <w:tcW w:type="dxa" w:w="31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Content slides</w:t>
            </w:r>
          </w:p>
        </w:tc>
        <w:tc>
          <w:tcPr>
            <w:tcW w:type="dxa" w:w="62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White background, near-black titles, cyan eyebrow label above the title</w:t>
            </w:r>
          </w:p>
        </w:tc>
      </w:tr>
      <w:tr>
        <w:tc>
          <w:tcPr>
            <w:tcW w:type="dxa" w:w="31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Section dividers</w:t>
            </w:r>
          </w:p>
        </w:tc>
        <w:tc>
          <w:tcPr>
            <w:tcW w:type="dxa" w:w="62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Near-black background variant</w:t>
            </w:r>
          </w:p>
        </w:tc>
      </w:tr>
      <w:tr>
        <w:tc>
          <w:tcPr>
            <w:tcW w:type="dxa" w:w="31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Slide titles</w:t>
            </w:r>
          </w:p>
        </w:tc>
        <w:tc>
          <w:tcPr>
            <w:tcW w:type="dxa" w:w="62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Manrope 800 (Arial fallback), 26-30pt</w:t>
            </w:r>
          </w:p>
        </w:tc>
      </w:tr>
      <w:tr>
        <w:tc>
          <w:tcPr>
            <w:tcW w:type="dxa" w:w="31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Eyebrow labels</w:t>
            </w:r>
          </w:p>
        </w:tc>
        <w:tc>
          <w:tcPr>
            <w:tcW w:type="dxa" w:w="62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10-11pt, ALL CAPS, Cyan, wide tracking</w:t>
            </w:r>
          </w:p>
        </w:tc>
      </w:tr>
      <w:tr>
        <w:tc>
          <w:tcPr>
            <w:tcW w:type="dxa" w:w="31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Body</w:t>
            </w:r>
          </w:p>
        </w:tc>
        <w:tc>
          <w:tcPr>
            <w:tcW w:type="dxa" w:w="62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12-14pt near-black; #64748B for secondary lines</w:t>
            </w:r>
          </w:p>
        </w:tc>
      </w:tr>
      <w:tr>
        <w:tc>
          <w:tcPr>
            <w:tcW w:type="dxa" w:w="31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Cards</w:t>
            </w:r>
          </w:p>
        </w:tc>
        <w:tc>
          <w:tcPr>
            <w:tcW w:type="dxa" w:w="62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White or #F8F9FB fill, 1px #E4E7EE border, 8px corner radius</w:t>
            </w:r>
          </w:p>
        </w:tc>
      </w:tr>
      <w:tr>
        <w:tc>
          <w:tcPr>
            <w:tcW w:type="dxa" w:w="31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Page numbers</w:t>
            </w:r>
          </w:p>
        </w:tc>
        <w:tc>
          <w:tcPr>
            <w:tcW w:type="dxa" w:w="62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Small, muted, consistent corner</w:t>
            </w:r>
          </w:p>
        </w:tc>
      </w:tr>
    </w:tbl>
    <w:p>
      <w:pPr>
        <w:pStyle w:val="Heading1"/>
        <w:spacing w:after="160" w:before="300"/>
      </w:pPr>
      <w:r>
        <w:rPr>
          <w:rFonts w:ascii="Arial" w:cs="Arial" w:eastAsia="Arial" w:hAnsi="Arial"/>
          <w:b/>
          <w:bCs/>
          <w:color w:val="0B0C10"/>
          <w:sz w:val="30"/>
          <w:szCs w:val="30"/>
        </w:rPr>
        <w:t xml:space="preserve">6. Decisions (June 5, 2026)</w:t>
      </w:r>
    </w:p>
    <w:p>
      <w:pPr>
        <w:pStyle w:val="ListParagraph"/>
        <w:numPr>
          <w:ilvl w:val="0"/>
          <w:numId w:val="3"/>
        </w:numPr>
        <w:spacing w:after="100"/>
      </w:pPr>
      <w:r>
        <w:rPr>
          <w:rFonts w:ascii="Arial" w:cs="Arial" w:eastAsia="Arial" w:hAnsi="Arial"/>
          <w:b/>
          <w:bCs/>
          <w:sz w:val="21"/>
          <w:szCs w:val="21"/>
        </w:rPr>
        <w:t xml:space="preserve">Body font: </w:t>
      </w:r>
      <w:r>
        <w:rPr>
          <w:rFonts w:ascii="Arial" w:cs="Arial" w:eastAsia="Arial" w:hAnsi="Arial"/>
          <w:sz w:val="21"/>
          <w:szCs w:val="21"/>
        </w:rPr>
        <w:t xml:space="preserve">Inter adopted. Website fix queued: load Inter on every page and set the fallback stack per section 3.</w:t>
      </w:r>
    </w:p>
    <w:p>
      <w:pPr>
        <w:pStyle w:val="ListParagraph"/>
        <w:numPr>
          <w:ilvl w:val="0"/>
          <w:numId w:val="3"/>
        </w:numPr>
        <w:spacing w:after="100"/>
      </w:pPr>
      <w:r>
        <w:rPr>
          <w:rFonts w:ascii="Arial" w:cs="Arial" w:eastAsia="Arial" w:hAnsi="Arial"/>
          <w:b/>
          <w:bCs/>
          <w:sz w:val="21"/>
          <w:szCs w:val="21"/>
        </w:rPr>
        <w:t xml:space="preserve">Per-case palettes: </w:t>
      </w:r>
      <w:r>
        <w:rPr>
          <w:rFonts w:ascii="Arial" w:cs="Arial" w:eastAsia="Arial" w:hAnsi="Arial"/>
          <w:sz w:val="21"/>
          <w:szCs w:val="21"/>
        </w:rPr>
        <w:t xml:space="preserve">confirmed out of scope. Case-study pages keep their own palettes.</w:t>
      </w:r>
    </w:p>
    <w:p>
      <w:pPr>
        <w:pStyle w:val="ListParagraph"/>
        <w:numPr>
          <w:ilvl w:val="0"/>
          <w:numId w:val="3"/>
        </w:numPr>
        <w:spacing w:after="240"/>
      </w:pPr>
      <w:r>
        <w:rPr>
          <w:rFonts w:ascii="Arial" w:cs="Arial" w:eastAsia="Arial" w:hAnsi="Arial"/>
          <w:b/>
          <w:bCs/>
          <w:sz w:val="21"/>
          <w:szCs w:val="21"/>
        </w:rPr>
        <w:t xml:space="preserve">Black version of the logo: </w:t>
      </w:r>
      <w:r>
        <w:rPr>
          <w:rFonts w:ascii="Arial" w:cs="Arial" w:eastAsia="Arial" w:hAnsi="Arial"/>
          <w:sz w:val="21"/>
          <w:szCs w:val="21"/>
        </w:rPr>
        <w:t xml:space="preserve">approved per section 1 (“Future” in #0B0C10, gradient “InSites” unchanged, small-size rule included). Asset creation queued; it joins the site repo so web and collateral share one set. The dark band is the interim treatment until it exists.</w:t>
      </w:r>
    </w:p>
    <w:p>
      <w:pPr>
        <w:spacing w:before="200"/>
      </w:pPr>
      <w:r>
        <w:rPr>
          <w:rFonts w:ascii="Arial" w:cs="Arial" w:eastAsia="Arial" w:hAnsi="Arial"/>
          <w:i/>
          <w:iCs/>
          <w:color w:val="64748B"/>
          <w:sz w:val="19"/>
          <w:szCs w:val="19"/>
        </w:rPr>
        <w:t xml:space="preserve">Editorial conventions already in force: no em dashes, no “ship/shipping” jargon, no “AI” prefix on role or section names, audience labels plural, Build-Operate-Transfer framed as build + co-operate + transition.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0B0C1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b742288c3cd602d3f7d1f9a75c6a52f41a864b4.png"/><Relationship Id="rId8" Type="http://schemas.openxmlformats.org/officeDocument/2006/relationships/image" Target="media/fe4935d7c89c037a275e28740cb52e9f2e1226cb.png"/><Relationship Id="rId9" Type="http://schemas.openxmlformats.org/officeDocument/2006/relationships/image" Target="media/fd3b969f0f902102de607d8637d27953502ce7a1.png"/><Relationship Id="rId10" Type="http://schemas.openxmlformats.org/officeDocument/2006/relationships/image" Target="media/15dfa1f68e446f9d45b45c9b44ba39d29d30d470.png"/><Relationship Id="rId11" Type="http://schemas.openxmlformats.org/officeDocument/2006/relationships/image" Target="media/a5267409b6e13ae3a2840aaafdba4fecfc160d94.png"/><Relationship Id="rId12" Type="http://schemas.openxmlformats.org/officeDocument/2006/relationships/image" Target="media/80e12dd567771512d07ae7b58d579c8b13a04d0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2026-06-05T15:29:52.332Z</dcterms:created>
  <dcterms:modified xsi:type="dcterms:W3CDTF">2026-06-05T15:29:52.332Z</dcterms:modified>
</cp:coreProperties>
</file>

<file path=docProps/custom.xml><?xml version="1.0" encoding="utf-8"?>
<Properties xmlns="http://schemas.openxmlformats.org/officeDocument/2006/custom-properties" xmlns:vt="http://schemas.openxmlformats.org/officeDocument/2006/docPropsVTypes"/>
</file>