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Informe de especificación de requisitos — actualización de despliegue</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Actualización controlada del documento de requisitos existente; se conservan los requisitos funcionales y se registra el despliegue real mediante Render, sin representar Android APK como probado.</w:t>
      </w:r>
      <w:r>
        <w:t xml:space="preserve"> Esta revisión incorpora el estado de los repositorios al 28 de octubre de 2026; el anexo separa código presente de validación ejecutada.</w:t>
      </w:r>
    </w:p>
    <w:p>
      <w:pPr>
        <w:pStyle w:val="Heading1"/>
      </w:pPr>
      <w:r>
        <w:t>Contenido</w:t>
      </w:r>
    </w:p>
    <w:p>
      <w:pPr>
        <w:ind w:firstLine="720"/>
      </w:pPr>
      <w:r>
        <w:t>1. Objeto y alcance</w:t>
      </w:r>
    </w:p>
    <w:p>
      <w:pPr>
        <w:ind w:firstLine="720"/>
      </w:pPr>
      <w:r>
        <w:t>2. Requisitos funcionales vinculados al estado actual</w:t>
      </w:r>
    </w:p>
    <w:p>
      <w:pPr>
        <w:ind w:firstLine="720"/>
      </w:pPr>
      <w:r>
        <w:t>3. Requisitos no funcionales y entorno de destino</w:t>
      </w:r>
    </w:p>
    <w:p>
      <w:pPr>
        <w:ind w:firstLine="720"/>
      </w:pPr>
      <w:r>
        <w:t>4. Trazabilidad y aceptación</w:t>
      </w:r>
    </w:p>
    <w:p>
      <w:pPr>
        <w:ind w:firstLine="720"/>
      </w:pPr>
      <w:r>
        <w:t>5. Restricciones y pendientes</w:t>
      </w:r>
    </w:p>
    <w:p>
      <w:pPr>
        <w:ind w:firstLine="720"/>
      </w:pPr>
      <w:r>
        <w:t>6. Referencias</w:t>
      </w:r>
    </w:p>
    <w:p>
      <w:r>
        <w:br w:type="page"/>
      </w:r>
    </w:p>
    <w:p>
      <w:pPr/>
      <w:r>
        <w:t>Anexo. Actualización técnica (28 de octubre de 2026)</w:t>
      </w:r>
    </w:p>
    <w:p>
      <w:pPr>
        <w:pStyle w:val="Heading1"/>
      </w:pPr>
      <w:r>
        <w:t>1. Objeto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La especificación base se conserva en SRS/srs/SRS.docx. Este complemento prioriza la arquitectura de despliegue y las restricciones operativas; no sustituye la matriz original de requisitos.</w:t>
      </w:r>
    </w:p>
    <w:p>
      <w:pPr>
        <w:pStyle w:val="Heading1"/>
      </w:pPr>
      <w:r>
        <w:t>2. Requisitos funcionales vinculados al estado actual</w:t>
      </w:r>
    </w:p>
    <w:p>
      <w:pPr>
        <w:ind w:firstLine="720"/>
      </w:pPr>
      <w:r>
        <w:t>Autenticación y verificación por correo; usuarios y estudiantes; vinculación QR o manual; rutas y paradas; trayectos y coordenadas; zonas seguras; notificaciones; administración y auditoría. El backend contiene /api/auth/login, /api/auth/register y /api/auth/confirm-login, entre otras rutas.</w:t>
      </w:r>
    </w:p>
    <w:p>
      <w:pPr>
        <w:ind w:firstLine="720"/>
      </w:pPr>
      <w:r>
        <w:t>La integración de autocompletado usa Places API (New), POST /v1/places:autocomplete hacia Google, manteniendo GET /api/maps/places/autocomplete hacia el cliente.</w:t>
      </w:r>
    </w:p>
    <w:p>
      <w:pPr>
        <w:pStyle w:val="Heading1"/>
      </w:pPr>
      <w:r>
        <w:t>3. Requisitos no funcionales y entorno de destino</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Requisito de disponibilidad: el plan Free puede suspender las instancias por inactividad. Este comportamiento limita las garantías de rastreo continuado y debe resolverse antes de usar el sistema en producción escolar.</w:t>
      </w:r>
    </w:p>
    <w:p>
      <w:pPr>
        <w:pStyle w:val="Heading1"/>
      </w:pPr>
      <w:r>
        <w:t>4. Trazabilidad y aceptación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Elemento</w:t>
            </w:r>
          </w:p>
        </w:tc>
        <w:tc>
          <w:tcPr>
            <w:tcW w:type="dxa" w:w="3120"/>
          </w:tcPr>
          <w:p>
            <w:pPr>
              <w:spacing w:line="240" w:lineRule="auto"/>
              <w:ind w:firstLine="0"/>
            </w:pPr>
            <w:r>
              <w:rPr>
                <w:sz w:val="18"/>
              </w:rPr>
              <w:t>Evidencia</w:t>
            </w:r>
          </w:p>
        </w:tc>
        <w:tc>
          <w:tcPr>
            <w:tcW w:type="dxa" w:w="3120"/>
          </w:tcPr>
          <w:p>
            <w:pPr>
              <w:spacing w:line="240" w:lineRule="auto"/>
              <w:ind w:firstLine="0"/>
            </w:pPr>
            <w:r>
              <w:rPr>
                <w:sz w:val="18"/>
              </w:rPr>
              <w:t>Resultado</w:t>
            </w:r>
          </w:p>
        </w:tc>
      </w:tr>
      <w:tr>
        <w:tc>
          <w:tcPr>
            <w:tcW w:type="dxa" w:w="3120"/>
          </w:tcPr>
          <w:p>
            <w:pPr>
              <w:spacing w:line="240" w:lineRule="auto"/>
              <w:ind w:firstLine="0"/>
            </w:pPr>
            <w:r>
              <w:rPr>
                <w:sz w:val="18"/>
              </w:rPr>
              <w:t>HU-29 Places</w:t>
            </w:r>
          </w:p>
        </w:tc>
        <w:tc>
          <w:tcPr>
            <w:tcW w:type="dxa" w:w="3120"/>
          </w:tcPr>
          <w:p>
            <w:pPr>
              <w:spacing w:line="240" w:lineRule="auto"/>
              <w:ind w:firstLine="0"/>
            </w:pPr>
            <w:r>
              <w:rPr>
                <w:sz w:val="18"/>
              </w:rPr>
              <w:t>GoogleMapsClient.java; tests de Codex</w:t>
            </w:r>
          </w:p>
        </w:tc>
        <w:tc>
          <w:tcPr>
            <w:tcW w:type="dxa" w:w="3120"/>
          </w:tcPr>
          <w:p>
            <w:pPr>
              <w:spacing w:line="240" w:lineRule="auto"/>
              <w:ind w:firstLine="0"/>
            </w:pPr>
            <w:r>
              <w:rPr>
                <w:sz w:val="18"/>
              </w:rPr>
              <w:t>Implementado; pruebas simuladas</w:t>
            </w:r>
          </w:p>
        </w:tc>
      </w:tr>
      <w:tr>
        <w:tc>
          <w:tcPr>
            <w:tcW w:type="dxa" w:w="3120"/>
          </w:tcPr>
          <w:p>
            <w:pPr>
              <w:spacing w:line="240" w:lineRule="auto"/>
              <w:ind w:firstLine="0"/>
            </w:pPr>
            <w:r>
              <w:rPr>
                <w:sz w:val="18"/>
              </w:rPr>
              <w:t>HU-30 QR</w:t>
            </w:r>
          </w:p>
        </w:tc>
        <w:tc>
          <w:tcPr>
            <w:tcW w:type="dxa" w:w="3120"/>
          </w:tcPr>
          <w:p>
            <w:pPr>
              <w:spacing w:line="240" w:lineRule="auto"/>
              <w:ind w:firstLine="0"/>
            </w:pPr>
            <w:r>
              <w:rPr>
                <w:sz w:val="18"/>
              </w:rPr>
              <w:t>Frontend; pruebas de cámara</w:t>
            </w:r>
          </w:p>
        </w:tc>
        <w:tc>
          <w:tcPr>
            <w:tcW w:type="dxa" w:w="3120"/>
          </w:tcPr>
          <w:p>
            <w:pPr>
              <w:spacing w:line="240" w:lineRule="auto"/>
              <w:ind w:firstLine="0"/>
            </w:pPr>
            <w:r>
              <w:rPr>
                <w:sz w:val="18"/>
              </w:rPr>
              <w:t>Pendiente de verificación de despliegue</w:t>
            </w:r>
          </w:p>
        </w:tc>
      </w:tr>
      <w:tr>
        <w:tc>
          <w:tcPr>
            <w:tcW w:type="dxa" w:w="3120"/>
          </w:tcPr>
          <w:p>
            <w:pPr>
              <w:spacing w:line="240" w:lineRule="auto"/>
              <w:ind w:firstLine="0"/>
            </w:pPr>
            <w:r>
              <w:rPr>
                <w:sz w:val="18"/>
              </w:rPr>
              <w:t>HU-31/32 Android</w:t>
            </w:r>
          </w:p>
        </w:tc>
        <w:tc>
          <w:tcPr>
            <w:tcW w:type="dxa" w:w="3120"/>
          </w:tcPr>
          <w:p>
            <w:pPr>
              <w:spacing w:line="240" w:lineRule="auto"/>
              <w:ind w:firstLine="0"/>
            </w:pPr>
            <w:r>
              <w:rPr>
                <w:sz w:val="18"/>
              </w:rPr>
              <w:t>locationTracking.js; Expo plugins</w:t>
            </w:r>
          </w:p>
        </w:tc>
        <w:tc>
          <w:tcPr>
            <w:tcW w:type="dxa" w:w="3120"/>
          </w:tcPr>
          <w:p>
            <w:pPr>
              <w:spacing w:line="240" w:lineRule="auto"/>
              <w:ind w:firstLine="0"/>
            </w:pPr>
            <w:r>
              <w:rPr>
                <w:sz w:val="18"/>
              </w:rPr>
              <w:t>Código presente, APK no probado</w:t>
            </w:r>
          </w:p>
        </w:tc>
      </w:tr>
      <w:tr>
        <w:tc>
          <w:tcPr>
            <w:tcW w:type="dxa" w:w="3120"/>
          </w:tcPr>
          <w:p>
            <w:pPr>
              <w:spacing w:line="240" w:lineRule="auto"/>
              <w:ind w:firstLine="0"/>
            </w:pPr>
            <w:r>
              <w:rPr>
                <w:sz w:val="18"/>
              </w:rPr>
              <w:t>Aviso dispositivo nuevo</w:t>
            </w:r>
          </w:p>
        </w:tc>
        <w:tc>
          <w:tcPr>
            <w:tcW w:type="dxa" w:w="3120"/>
          </w:tcPr>
          <w:p>
            <w:pPr>
              <w:spacing w:line="240" w:lineRule="auto"/>
              <w:ind w:firstLine="0"/>
            </w:pPr>
            <w:r>
              <w:rPr>
                <w:sz w:val="18"/>
              </w:rPr>
              <w:t>/api/auth/confirm-login; flujo Brevo</w:t>
            </w:r>
          </w:p>
        </w:tc>
        <w:tc>
          <w:tcPr>
            <w:tcW w:type="dxa" w:w="3120"/>
          </w:tcPr>
          <w:p>
            <w:pPr>
              <w:spacing w:line="240" w:lineRule="auto"/>
              <w:ind w:firstLine="0"/>
            </w:pPr>
            <w:r>
              <w:rPr>
                <w:sz w:val="18"/>
              </w:rPr>
              <w:t>Regresión reportada, pendiente</w:t>
            </w:r>
          </w:p>
        </w:tc>
      </w:tr>
      <w:tr>
        <w:tc>
          <w:tcPr>
            <w:tcW w:type="dxa" w:w="3120"/>
          </w:tcPr>
          <w:p>
            <w:pPr>
              <w:spacing w:line="240" w:lineRule="auto"/>
              <w:ind w:firstLine="0"/>
            </w:pPr>
            <w:r>
              <w:rPr>
                <w:sz w:val="18"/>
              </w:rPr>
              <w:t>Consentimiento registro</w:t>
            </w:r>
          </w:p>
        </w:tc>
        <w:tc>
          <w:tcPr>
            <w:tcW w:type="dxa" w:w="3120"/>
          </w:tcPr>
          <w:p>
            <w:pPr>
              <w:spacing w:line="240" w:lineRule="auto"/>
              <w:ind w:firstLine="0"/>
            </w:pPr>
            <w:r>
              <w:rPr>
                <w:sz w:val="18"/>
              </w:rPr>
              <w:t>Pantalla registro</w:t>
            </w:r>
          </w:p>
        </w:tc>
        <w:tc>
          <w:tcPr>
            <w:tcW w:type="dxa" w:w="3120"/>
          </w:tcPr>
          <w:p>
            <w:pPr>
              <w:spacing w:line="240" w:lineRule="auto"/>
              <w:ind w:firstLine="0"/>
            </w:pPr>
            <w:r>
              <w:rPr>
                <w:sz w:val="18"/>
              </w:rPr>
              <w:t>Checkbox reportado como defectuoso</w:t>
            </w:r>
          </w:p>
        </w:tc>
      </w:tr>
    </w:tbl>
    <w:p>
      <w:pPr>
        <w:pStyle w:val="Heading1"/>
      </w:pPr>
      <w:r>
        <w:t>5. Restricciones y pendientes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Cambios funcionales con impacto en requisitos</w:t>
      </w:r>
    </w:p>
    <w:p>
      <w:pPr>
        <w:pStyle w:val="ListBullet"/>
      </w:pPr>
      <w:r>
        <w:t>Autenticación y sesiones: la API exige identificador de dispositivo, limita intentos de autenticación y conserva los tokens de sesión como hash; el backend expone operaciones de sesión y control de acceso de acudientes.</w:t>
      </w:r>
    </w:p>
    <w:p>
      <w:pPr>
        <w:pStyle w:val="ListBullet"/>
      </w:pPr>
      <w:r>
        <w:t>Vinculación y datos: los códigos de enlace de estudiantes se gestionan de forma segura y de un solo uso; se completaron contratos de direcciones para rutas y paradas y se uniformó el tratamiento de errores de API.</w:t>
      </w:r>
    </w:p>
    <w:p>
      <w:pPr>
        <w:pStyle w:val="ListBullet"/>
      </w:pPr>
      <w:r>
        <w:t>Operación de datos: Liquibase incorpora inicio controlado de administrador, rol de aplicación y cambios de auditoría. El bootstrap de producción se habilita una vez mediante contexto explícito; no se deben guardar credenciales en el repositorio.</w:t>
      </w:r>
    </w:p>
    <w:p>
      <w:pPr>
        <w:pStyle w:val="Heading2"/>
      </w:pPr>
      <w:r>
        <w:t>Estado de aceptación</w:t>
      </w:r>
    </w:p>
    <w:p>
      <w:pPr>
        <w:pStyle w:val="ListBullet"/>
      </w:pPr>
      <w:r>
        <w:t>Estos elementos están presentes en los repositorios inspeccionados. Esta actualización no acredita pruebas de aceptación en producción, validación de correo, pruebas con dispositivos físicos ni continuidad de GPS en segundo plano.</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