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Propuesta técnica del software — actualización 2026</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Propuesta técnica revisada sobre lo implementado en los repositorios, con plan de consolidación, costos y limitaciones declaradas.</w:t>
      </w:r>
      <w:r>
        <w:t xml:space="preserve"> Esta revisión incorpora el estado de los repositorios al 28 de octubre de 2026; el anexo separa código presente de validación ejecutada.</w:t>
      </w:r>
    </w:p>
    <w:p>
      <w:pPr>
        <w:pStyle w:val="Heading1"/>
      </w:pPr>
      <w:r>
        <w:t>Contenido</w:t>
      </w:r>
    </w:p>
    <w:p>
      <w:pPr>
        <w:ind w:firstLine="720"/>
      </w:pPr>
      <w:r>
        <w:t>1. Antecedentes y alcance</w:t>
      </w:r>
    </w:p>
    <w:p>
      <w:pPr>
        <w:ind w:firstLine="720"/>
      </w:pPr>
      <w:r>
        <w:t>2. Solución tecnológica</w:t>
      </w:r>
    </w:p>
    <w:p>
      <w:pPr>
        <w:ind w:firstLine="720"/>
      </w:pPr>
      <w:r>
        <w:t>3. Decisiones y justificación</w:t>
      </w:r>
    </w:p>
    <w:p>
      <w:pPr>
        <w:ind w:firstLine="720"/>
      </w:pPr>
      <w:r>
        <w:t>4. Viabilidad y riesgos</w:t>
      </w:r>
    </w:p>
    <w:p>
      <w:pPr>
        <w:ind w:firstLine="720"/>
      </w:pPr>
      <w:r>
        <w:t>5. Hoja de ruta</w:t>
      </w:r>
    </w:p>
    <w:p>
      <w:pPr>
        <w:ind w:firstLine="720"/>
      </w:pPr>
      <w:r>
        <w:t>6. Criterios de aceptación</w:t>
      </w:r>
    </w:p>
    <w:p>
      <w:pPr>
        <w:ind w:firstLine="720"/>
      </w:pPr>
      <w:r>
        <w:t>7. Referencias</w:t>
      </w:r>
    </w:p>
    <w:p>
      <w:r>
        <w:br w:type="page"/>
      </w:r>
    </w:p>
    <w:p>
      <w:pPr/>
      <w:r>
        <w:t>Anexo. Actualización técnica (28 de octubre de 2026)</w:t>
      </w:r>
    </w:p>
    <w:p>
      <w:pPr>
        <w:pStyle w:val="Heading1"/>
      </w:pPr>
      <w:r>
        <w:t>1. Antecedentes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pStyle w:val="Heading1"/>
      </w:pPr>
      <w:r>
        <w:t>2. Solución tecnológica</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El frontend se construye con Node 20 y Expo Web y se distribuye mediante Nginx; Android se configura con Expo SDK 57, expo-location, expo-task-manager y EAS Build. El backend usa Spring Boot y PostgreSQL 15.</w:t>
      </w:r>
    </w:p>
    <w:p>
      <w:pPr>
        <w:pStyle w:val="Heading1"/>
      </w:pPr>
      <w:r>
        <w:t>3. Decisiones y justificación</w:t>
      </w:r>
    </w:p>
    <w:p>
      <w:pPr>
        <w:ind w:firstLine="720"/>
      </w:pPr>
      <w:r>
        <w:t>Monolito modular con controladores, servicios, repositorios y DTO; migraciones controladas por Liquibase; Render como alternativa de despliegue académico accesible; Docker Compose como plataforma reproducible local. Google Places API (New) evita dependencia del endpoint Legacy.</w:t>
      </w:r>
    </w:p>
    <w:p>
      <w:pPr>
        <w:pStyle w:val="Heading1"/>
      </w:pPr>
      <w:r>
        <w:t>4. Viabilidad y riesgos</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instancias gratuitas introducen latencia de arranque y posibles suspensiones. El APK Android requiere compilación y pruebas físicas, y el QR web requiere pruebas en navegadores reales. Los importes económicos no deben afirmarse sin cotización vigente.</w:t>
      </w:r>
    </w:p>
    <w:p>
      <w:pPr>
        <w:pStyle w:val="Heading1"/>
      </w:pPr>
      <w:r>
        <w:t>5. Hoja de ruta</w:t>
      </w:r>
    </w:p>
    <w:p>
      <w:pPr>
        <w:ind w:firstLine="720"/>
      </w:pPr>
      <w:r>
        <w:t>Prioridad alta: cerrar regresión de alerta por nuevo dispositivo y consentimiento en registro; verificar QR. Prioridad media: desarrollo y prueba del APK; mejorar monitoreo y respaldo. Prioridad alta antes de producción: disponibilidad permanente del servidor, privacidad de menores y políticas de retención.</w:t>
      </w:r>
    </w:p>
    <w:p>
      <w:pPr>
        <w:pStyle w:val="Heading1"/>
      </w:pPr>
      <w:r>
        <w:t>6. Criterios de aceptación</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7.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Actualización de la solución</w:t>
      </w:r>
    </w:p>
    <w:p>
      <w:pPr>
        <w:pStyle w:val="ListBullet"/>
      </w:pPr>
      <w:r>
        <w:t>El alcance actual incorpora controles de intentos de autenticación, sesiones asociadas a dispositivo y almacenamiento hash de tokens; también fortalece el enlace de estudiantes, permisos de acceso compartido y transiciones de trayecto.</w:t>
      </w:r>
    </w:p>
    <w:p>
      <w:pPr>
        <w:pStyle w:val="ListBullet"/>
      </w:pPr>
      <w:r>
        <w:t>La base de datos separa el rol de aplicación del administrador y limita el bootstrap administrativo de producción a un contexto explícito. Los repositorios tienen workflows de calidad configurados; su presencia no equivale a una ejecución aprobada para esta revisión.</w:t>
      </w:r>
    </w:p>
    <w:p>
      <w:pPr>
        <w:pStyle w:val="ListBullet"/>
      </w:pPr>
      <w:r>
        <w:t>El frontend añade configuración de EAS y un botón para descargar el APK cuando se suministra EXPO_PUBLIC_ANDROID_APK_URL. No se confirma que una compilación o descarga esté disponible en el entorno publicado.</w:t>
      </w:r>
    </w:p>
    <w:p>
      <w:pPr>
        <w:pStyle w:val="Heading2"/>
      </w:pPr>
      <w:r>
        <w:t>Ruta de consolidación</w:t>
      </w:r>
    </w:p>
    <w:p>
      <w:pPr>
        <w:pStyle w:val="ListBullet"/>
      </w:pPr>
      <w:r>
        <w:t>Priorizar pruebas de regresión de autenticación y QR, verificar el bootstrap sobre un entorno controlado, capturar resultados de CI y validar la compilación, instalación y GPS en segundo plano en dispositivos Android reales.</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