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Diseño del software — interfaces, arquitectura, patrones y datos</w:t>
      </w:r>
    </w:p>
    <w:p>
      <w:pPr>
        <w:jc w:val="center"/>
      </w:pPr>
      <w:r>
        <w:t>Documentación técnica y académica · Revisión 2026-10-28</w:t>
      </w:r>
    </w:p>
    <w:p>
      <w:pPr>
        <w:jc w:val="center"/>
      </w:pPr>
      <w:r>
        <w:t>28 de octubre de 2026</w:t>
      </w:r>
    </w:p>
    <w:p>
      <w:pPr>
        <w:jc w:val="center"/>
      </w:pPr>
      <w:r>
        <w:t>Versión documental 2.5.5 | Corte de código: 2026-10-28</w:t>
      </w:r>
    </w:p>
    <w:p>
      <w:r>
        <w:br w:type="page"/>
      </w:r>
    </w:p>
    <w:p>
      <w:pPr>
        <w:pStyle w:val="Heading1"/>
      </w:pPr>
      <w:r>
        <w:t>Resumen</w:t>
      </w:r>
    </w:p>
    <w:p>
      <w:pPr>
        <w:ind w:firstLine="720"/>
      </w:pPr>
      <w:r>
        <w:t>Diseño lógico y tecnológico actualizado a los repositorios de GPS Guardian Escolar, distinguiendo artefactos históricos y verificaciones pendientes.</w:t>
      </w:r>
      <w:r>
        <w:t xml:space="preserve"> Esta revisión incorpora el estado de los repositorios al 28 de octubre de 2026; el anexo separa código presente de validación ejecutada.</w:t>
      </w:r>
    </w:p>
    <w:p>
      <w:pPr>
        <w:pStyle w:val="Heading1"/>
      </w:pPr>
      <w:r>
        <w:t>Contenido</w:t>
      </w:r>
    </w:p>
    <w:p>
      <w:pPr>
        <w:ind w:firstLine="720"/>
      </w:pPr>
      <w:r>
        <w:t>1. Arquitectura de componentes</w:t>
      </w:r>
    </w:p>
    <w:p>
      <w:pPr>
        <w:ind w:firstLine="720"/>
      </w:pPr>
      <w:r>
        <w:t>2. Interfaces gráficas</w:t>
      </w:r>
    </w:p>
    <w:p>
      <w:pPr>
        <w:ind w:firstLine="720"/>
      </w:pPr>
      <w:r>
        <w:t>3. Patrones de diseño</w:t>
      </w:r>
    </w:p>
    <w:p>
      <w:pPr>
        <w:ind w:firstLine="720"/>
      </w:pPr>
      <w:r>
        <w:t>4. Modelo de datos</w:t>
      </w:r>
    </w:p>
    <w:p>
      <w:pPr>
        <w:ind w:firstLine="720"/>
      </w:pPr>
      <w:r>
        <w:t>5. Seguridad y limitaciones</w:t>
      </w:r>
    </w:p>
    <w:p>
      <w:pPr>
        <w:ind w:firstLine="720"/>
      </w:pPr>
      <w:r>
        <w:t>6. Referencias</w:t>
      </w:r>
    </w:p>
    <w:p>
      <w:r>
        <w:br w:type="page"/>
      </w:r>
    </w:p>
    <w:p>
      <w:pPr/>
      <w:r>
        <w:t>Anexo. Actualización técnica (28 de octubre de 2026)</w:t>
      </w:r>
    </w:p>
    <w:p>
      <w:pPr>
        <w:pStyle w:val="Heading1"/>
      </w:pPr>
      <w:r>
        <w:t>1. Arquitectura de componentes</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Frontend Expo / Expo Router con componentes compartidos y variantes web/nativo; proxy Nginx a /api y /ws; Spring Boot monolito modular, JWT y WebSocket; PostgreSQL administrado y migraciones Liquibase.</w:t>
      </w:r>
    </w:p>
    <w:p>
      <w:pPr>
        <w:pStyle w:val="Heading1"/>
      </w:pPr>
      <w:r>
        <w:t>2. Interfaces gráficas</w:t>
      </w:r>
    </w:p>
    <w:p>
      <w:pPr>
        <w:ind w:firstLine="720"/>
      </w:pPr>
      <w:r>
        <w:t>Pantallas de registro, autenticación, panel del acudiente, estudiantes, seguimiento, zonas, historial y perfil. En capturas móviles se detectó una cuadrícula con alturas irregulares y un avatar con iniciales incorrectas; HU-31/32 reportó ajustes aún no verificados en producción.</w:t>
      </w:r>
    </w:p>
    <w:p>
      <w:pPr>
        <w:ind w:firstLine="720"/>
      </w:pPr>
      <w:r>
        <w:t>La captura de iOS mostraba nombre de tarjeta diferente al nombre en edición. Debe mantenerse la fuente de verdad del backend y refrescar la consulta tras guardar.</w:t>
      </w:r>
    </w:p>
    <w:p>
      <w:pPr>
        <w:pStyle w:val="Heading1"/>
      </w:pPr>
      <w:r>
        <w:t>3. Patrones de diseño</w:t>
      </w:r>
    </w:p>
    <w:p>
      <w:pPr>
        <w:ind w:firstLine="720"/>
      </w:pPr>
      <w:r>
        <w:t>Controller–Service–Repository–DTO en backend; configuración externalizada; adaptadores de API y separación específica por plataforma en frontend; patrones Observer/event-driven en notificaciones y STOMP WebSocket. El seguimiento Android define una tarea global y un servicio de ubicación nativo en lugar de un intervalo dependiente de la pantalla.</w:t>
      </w:r>
    </w:p>
    <w:p>
      <w:pPr>
        <w:pStyle w:val="Heading1"/>
      </w:pPr>
      <w:r>
        <w:t>4. Modelo de datos</w:t>
      </w:r>
    </w:p>
    <w:p>
      <w:pPr>
        <w:ind w:firstLine="720"/>
      </w:pPr>
      <w:r>
        <w:t>Entidades de dominio: Usuario, Estudiante, Ruta, Parada, Trayecto, Coordenada, Notificacion, ReciboNotificacion, ZonaSegura y ConfigNotificacion. El proyecto contiene además datos para permisos, dispositivos y auditoría en su evolución; el inventario SQL debe utilizarse para verificar cada tabla y columna.</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ind w:firstLine="0"/>
            </w:pPr>
            <w:r>
              <w:rPr>
                <w:sz w:val="18"/>
              </w:rPr>
              <w:t>Relación conceptual</w:t>
            </w:r>
          </w:p>
        </w:tc>
        <w:tc>
          <w:tcPr>
            <w:tcW w:type="dxa" w:w="4680"/>
          </w:tcPr>
          <w:p>
            <w:pPr>
              <w:spacing w:line="240" w:lineRule="auto"/>
              <w:ind w:firstLine="0"/>
            </w:pPr>
            <w:r>
              <w:rPr>
                <w:sz w:val="18"/>
              </w:rPr>
              <w:t>Descripción</w:t>
            </w:r>
          </w:p>
        </w:tc>
      </w:tr>
      <w:tr>
        <w:tc>
          <w:tcPr>
            <w:tcW w:type="dxa" w:w="4680"/>
          </w:tcPr>
          <w:p>
            <w:pPr>
              <w:spacing w:line="240" w:lineRule="auto"/>
              <w:ind w:firstLine="0"/>
            </w:pPr>
            <w:r>
              <w:rPr>
                <w:sz w:val="18"/>
              </w:rPr>
              <w:t>Usuario–Estudiante</w:t>
            </w:r>
          </w:p>
        </w:tc>
        <w:tc>
          <w:tcPr>
            <w:tcW w:type="dxa" w:w="4680"/>
          </w:tcPr>
          <w:p>
            <w:pPr>
              <w:spacing w:line="240" w:lineRule="auto"/>
              <w:ind w:firstLine="0"/>
            </w:pPr>
            <w:r>
              <w:rPr>
                <w:sz w:val="18"/>
              </w:rPr>
              <w:t>Acudiente o usuario autorizado asociado a estudiantes</w:t>
            </w:r>
          </w:p>
        </w:tc>
      </w:tr>
      <w:tr>
        <w:tc>
          <w:tcPr>
            <w:tcW w:type="dxa" w:w="4680"/>
          </w:tcPr>
          <w:p>
            <w:pPr>
              <w:spacing w:line="240" w:lineRule="auto"/>
              <w:ind w:firstLine="0"/>
            </w:pPr>
            <w:r>
              <w:rPr>
                <w:sz w:val="18"/>
              </w:rPr>
              <w:t>Ruta–Parada</w:t>
            </w:r>
          </w:p>
        </w:tc>
        <w:tc>
          <w:tcPr>
            <w:tcW w:type="dxa" w:w="4680"/>
          </w:tcPr>
          <w:p>
            <w:pPr>
              <w:spacing w:line="240" w:lineRule="auto"/>
              <w:ind w:firstLine="0"/>
            </w:pPr>
            <w:r>
              <w:rPr>
                <w:sz w:val="18"/>
              </w:rPr>
              <w:t>Rutas escolares con paradas</w:t>
            </w:r>
          </w:p>
        </w:tc>
      </w:tr>
      <w:tr>
        <w:tc>
          <w:tcPr>
            <w:tcW w:type="dxa" w:w="4680"/>
          </w:tcPr>
          <w:p>
            <w:pPr>
              <w:spacing w:line="240" w:lineRule="auto"/>
              <w:ind w:firstLine="0"/>
            </w:pPr>
            <w:r>
              <w:rPr>
                <w:sz w:val="18"/>
              </w:rPr>
              <w:t>Estudiante–Trayecto</w:t>
            </w:r>
          </w:p>
        </w:tc>
        <w:tc>
          <w:tcPr>
            <w:tcW w:type="dxa" w:w="4680"/>
          </w:tcPr>
          <w:p>
            <w:pPr>
              <w:spacing w:line="240" w:lineRule="auto"/>
              <w:ind w:firstLine="0"/>
            </w:pPr>
            <w:r>
              <w:rPr>
                <w:sz w:val="18"/>
              </w:rPr>
              <w:t>Registro de trayectos por estudiante/dispositivo</w:t>
            </w:r>
          </w:p>
        </w:tc>
      </w:tr>
      <w:tr>
        <w:tc>
          <w:tcPr>
            <w:tcW w:type="dxa" w:w="4680"/>
          </w:tcPr>
          <w:p>
            <w:pPr>
              <w:spacing w:line="240" w:lineRule="auto"/>
              <w:ind w:firstLine="0"/>
            </w:pPr>
            <w:r>
              <w:rPr>
                <w:sz w:val="18"/>
              </w:rPr>
              <w:t>Trayecto–Coordenada</w:t>
            </w:r>
          </w:p>
        </w:tc>
        <w:tc>
          <w:tcPr>
            <w:tcW w:type="dxa" w:w="4680"/>
          </w:tcPr>
          <w:p>
            <w:pPr>
              <w:spacing w:line="240" w:lineRule="auto"/>
              <w:ind w:firstLine="0"/>
            </w:pPr>
            <w:r>
              <w:rPr>
                <w:sz w:val="18"/>
              </w:rPr>
              <w:t>Secuencia temporal de posiciones</w:t>
            </w:r>
          </w:p>
        </w:tc>
      </w:tr>
      <w:tr>
        <w:tc>
          <w:tcPr>
            <w:tcW w:type="dxa" w:w="4680"/>
          </w:tcPr>
          <w:p>
            <w:pPr>
              <w:spacing w:line="240" w:lineRule="auto"/>
              <w:ind w:firstLine="0"/>
            </w:pPr>
            <w:r>
              <w:rPr>
                <w:sz w:val="18"/>
              </w:rPr>
              <w:t>Estudiante–ZonaSegura</w:t>
            </w:r>
          </w:p>
        </w:tc>
        <w:tc>
          <w:tcPr>
            <w:tcW w:type="dxa" w:w="4680"/>
          </w:tcPr>
          <w:p>
            <w:pPr>
              <w:spacing w:line="240" w:lineRule="auto"/>
              <w:ind w:firstLine="0"/>
            </w:pPr>
            <w:r>
              <w:rPr>
                <w:sz w:val="18"/>
              </w:rPr>
              <w:t>Perímetros definidos para supervisión</w:t>
            </w:r>
          </w:p>
        </w:tc>
      </w:tr>
    </w:tbl>
    <w:p>
      <w:pPr>
        <w:pStyle w:val="Heading1"/>
      </w:pPr>
      <w:r>
        <w:t>5. Seguridad y limitaciones</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Decisiones y datos revisados</w:t>
      </w:r>
    </w:p>
    <w:p>
      <w:pPr>
        <w:pStyle w:val="ListBullet"/>
      </w:pPr>
      <w:r>
        <w:t>La arquitectura conserva el backend modular Spring Boot y Expo. Los cambios recientes añaden validación de identificador de dispositivo, limitación de intentos, protección hash de tokens de sesión y códigos de enlace, y revocación/segmentación del acceso a estudiantes.</w:t>
      </w:r>
    </w:p>
    <w:p>
      <w:pPr>
        <w:pStyle w:val="ListBullet"/>
      </w:pPr>
      <w:r>
        <w:t>La capa de datos incorpora columnas de dirección para rutas/paradas, fechas de auditoría con zona horaria, rol de aplicación y bootstrap explícito de administrador. Las migraciones se gestionan con Liquibase y deben tratarse como cambios forward-only.</w:t>
      </w:r>
    </w:p>
    <w:p>
      <w:pPr>
        <w:pStyle w:val="ListBullet"/>
      </w:pPr>
      <w:r>
        <w:t>La retención de coordenadas cuenta con una función restringida para trayectos completados o cancelados; su política temporal debe ser aprobada por operación y su ejecución no se presenta como automática.</w:t>
      </w:r>
    </w:p>
    <w:p>
      <w:pPr>
        <w:pStyle w:val="Heading2"/>
      </w:pPr>
      <w:r>
        <w:t>Límite de evidencia</w:t>
      </w:r>
    </w:p>
    <w:p>
      <w:pPr>
        <w:pStyle w:val="ListBullet"/>
      </w:pPr>
      <w:r>
        <w:t>Las decisiones se contrastaron estáticamente contra los repositorios. La configuración de API, proveedores de correo/push, permisos del sistema operativo y vistas web/nativas requieren pruebas de integración específicas.</w:t>
      </w:r>
    </w:p>
    <w:p>
      <w:pPr/>
      <w:r>
        <w:t>Snapshots: Backend 345a8b3; Frontend d0648c1; DB e6b84c5; Infra d06a61c. Corte estático: 28-10-2026.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