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Procedimiento de implementación — Render y Docker</w:t>
      </w:r>
    </w:p>
    <w:p>
      <w:pPr>
        <w:jc w:val="center"/>
      </w:pPr>
      <w:r>
        <w:t>Documentación técnica y académica · Revisión 2026-10-28</w:t>
      </w:r>
    </w:p>
    <w:p>
      <w:pPr>
        <w:jc w:val="center"/>
      </w:pPr>
      <w:r>
        <w:t>28 de octubre de 2026</w:t>
      </w:r>
    </w:p>
    <w:p>
      <w:pPr>
        <w:jc w:val="center"/>
      </w:pPr>
      <w:r>
        <w:t>Versión documental 2.5.5 | Corte de código: 2026-10-28</w:t>
      </w:r>
    </w:p>
    <w:p>
      <w:r>
        <w:br w:type="page"/>
      </w:r>
    </w:p>
    <w:p>
      <w:pPr>
        <w:pStyle w:val="Heading1"/>
      </w:pPr>
      <w:r>
        <w:t>Resumen</w:t>
      </w:r>
    </w:p>
    <w:p>
      <w:pPr>
        <w:ind w:firstLine="720"/>
      </w:pPr>
      <w:r>
        <w:t>Runbook para actualización segura de base de datos, backend y frontend en Render, conservando un entorno Docker local independiente.</w:t>
      </w:r>
      <w:r>
        <w:t xml:space="preserve"> Esta revisión incorpora el estado de los repositorios al 28 de octubre de 2026; el anexo separa código presente de validación ejecutada.</w:t>
      </w:r>
    </w:p>
    <w:p>
      <w:pPr>
        <w:pStyle w:val="Heading1"/>
      </w:pPr>
      <w:r>
        <w:t>Contenido</w:t>
      </w:r>
    </w:p>
    <w:p>
      <w:pPr>
        <w:ind w:firstLine="720"/>
      </w:pPr>
      <w:r>
        <w:t>1. Alcance y prerrequisitos</w:t>
      </w:r>
    </w:p>
    <w:p>
      <w:pPr>
        <w:ind w:firstLine="720"/>
      </w:pPr>
      <w:r>
        <w:t>2. Secuencia de implementación</w:t>
      </w:r>
    </w:p>
    <w:p>
      <w:pPr>
        <w:ind w:firstLine="720"/>
      </w:pPr>
      <w:r>
        <w:t>3. Variables y seguridad</w:t>
      </w:r>
    </w:p>
    <w:p>
      <w:pPr>
        <w:ind w:firstLine="720"/>
      </w:pPr>
      <w:r>
        <w:t>4. Verificación y contingencia</w:t>
      </w:r>
    </w:p>
    <w:p>
      <w:pPr>
        <w:ind w:firstLine="720"/>
      </w:pPr>
      <w:r>
        <w:t>5. Mantenimiento</w:t>
      </w:r>
    </w:p>
    <w:p>
      <w:pPr>
        <w:ind w:firstLine="720"/>
      </w:pPr>
      <w:r>
        <w:t>6. Referencias</w:t>
      </w:r>
    </w:p>
    <w:p>
      <w:r>
        <w:br w:type="page"/>
      </w:r>
    </w:p>
    <w:p>
      <w:pPr/>
      <w:r>
        <w:t>Anexo. Actualización técnica (28 de octubre de 2026)</w:t>
      </w:r>
    </w:p>
    <w:p>
      <w:pPr>
        <w:pStyle w:val="Heading1"/>
      </w:pPr>
      <w:r>
        <w:t>1. Alcance y prerrequisitos</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Verificar permisos mínimos de Render y GitHub, accesos a bases de datos, variables y límites del plan. Respaldar datos antes de migrar. No almacenar secretos en repositorios.</w:t>
      </w:r>
    </w:p>
    <w:p>
      <w:pPr>
        <w:pStyle w:val="Heading1"/>
      </w:pPr>
      <w:r>
        <w:t>2. Secuencia de implementación</w:t>
      </w:r>
    </w:p>
    <w:p>
      <w:pPr>
        <w:ind w:firstLine="720"/>
      </w:pPr>
      <w:r>
        <w:t>1. Identificar rama y commit fuente; 2. generar respaldo lógico de PostgreSQL; 3. comprobar variables Render; 4. ejecutar Liquibase validate y update contra la DB de destino; 5. publicar backend dev; 6. revisar logs Spring Boot y /actuator/health; 7. compilar frontend develop con EXPO_PUBLIC_* en build; 8. verificar Nginx /api y /ws; 9. ejecutar smoke tests; 10. documentar evidencias y rollback.</w:t>
      </w:r>
    </w:p>
    <w:p>
      <w:pPr>
        <w:ind w:firstLine="720"/>
      </w:pPr>
      <w:r>
        <w:t>La cadena de migraciones local usa changelog/changelog-master.yaml y SQL de carpetas 01_ddl, 02_dml, 03_dcl según Docker Compose aportado. No ejecutar migraciones de desarrollo indiscriminadamente sobre producción.</w:t>
      </w:r>
    </w:p>
    <w:p>
      <w:pPr>
        <w:pStyle w:val="Heading1"/>
      </w:pPr>
      <w:r>
        <w:t>3. Variables y seguridad</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ind w:firstLine="720"/>
      </w:pPr>
      <w:r>
        <w:t>Backend: DB_URL, DB_USERNAME, DB_PASSWORD, JWT_SECRET, SPRING_PROFILES_ACTIVE=prod, MAIL_PROVIDER=brevo, BREVO_API_KEY, GOOGLE_MAPS_API_KEY, FRONTEND_BASE_URL, CORS_ALLOWED_ORIGINS. Frontend Docker: EXPO_PUBLIC_API_URL=/api, EXPO_PUBLIC_WS_URL=/ws, EXPO_PUBLIC_WEB_PROXY=true, EXPO_PUBLIC_GOOGLE_MAPS_API_KEY y API_UPSTREAM. Los valores no se incorporan a este documento.</w:t>
      </w:r>
    </w:p>
    <w:p>
      <w:pPr>
        <w:pStyle w:val="Heading1"/>
      </w:pPr>
      <w:r>
        <w:t>4. Verificación y contingencia</w:t>
      </w:r>
    </w:p>
    <w:p>
      <w:pPr>
        <w:ind w:firstLine="720"/>
      </w:pPr>
      <w:r>
        <w:t>Un 503 durante cold start no equivale necesariamente a falla persistente. Revisar disponibilidad real antes de autenticar. Reversión del frontend/backend al commit e imagen anterior; reversión de esquema solo con backup y estrategia aprobada. Suspender los servicios web si se detecta riesgo de seguridad, preservando respaldo de la DB.</w:t>
      </w:r>
    </w:p>
    <w:p>
      <w:pPr>
        <w:pStyle w:val="Heading1"/>
      </w:pPr>
      <w:r>
        <w:t>5. Mantenimiento</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6.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Secuencia vigente</w:t>
      </w:r>
    </w:p>
    <w:p>
      <w:pPr>
        <w:pStyle w:val="ListBullet"/>
      </w:pPr>
      <w:r>
        <w:t>Para Docker Compose, PostgreSQL debe pasar su healthcheck antes de Liquibase; el backend espera a que la migración termine correctamente y el frontend se levanta después del backend. Mantener imágenes y credenciales en el gestor de secretos.</w:t>
      </w:r>
    </w:p>
    <w:p>
      <w:pPr>
        <w:pStyle w:val="ListBullet"/>
      </w:pPr>
      <w:r>
        <w:t>Para el primer administrador productivo, ejecutar Liquibase una sola vez con LIQUIBASE_CONTEXTS=prod,bootstrap y ADMIN_EMAIL, ADMIN_PHONE y ADMIN_PASSWORD_HASH inyectados desde secretos. Los despliegues normales usan prod sin conservar variables de bootstrap.</w:t>
      </w:r>
    </w:p>
    <w:p>
      <w:pPr>
        <w:pStyle w:val="ListBullet"/>
      </w:pPr>
      <w:r>
        <w:t>APP_DB_PASSWORD configura el rol de aplicación; el README de DB requiere al menos 32 caracteres alfanuméricos, guion o guion bajo. No reutilizar la clave de administrador PostgreSQL. Mantener JWT_SECRET, correo, Maps y notificaciones configurados según el entorno.</w:t>
      </w:r>
    </w:p>
    <w:p>
      <w:pPr>
        <w:pStyle w:val="ListBullet"/>
      </w:pPr>
      <w:r>
        <w:t>La publicación Android usa EAS con proyecto enlazado y EXPO_PUBLIC_ANDROID_APK_URL para mostrar la descarga. Confirmar el artefacto y la URL antes de anunciar una versión.</w:t>
      </w:r>
    </w:p>
    <w:p>
      <w:pPr>
        <w:pStyle w:val="Heading2"/>
      </w:pPr>
      <w:r>
        <w:t>Verificación y rollback</w:t>
      </w:r>
    </w:p>
    <w:p>
      <w:pPr>
        <w:pStyle w:val="ListBullet"/>
      </w:pPr>
      <w:r>
        <w:t>Confirmar migraciones, health endpoint, autenticación, lectura de rutas, registro de un trayecto y disponibilidad de frontend. Consultar la guía de rollback de infraestructura antes de revertir; preservar backups y logs de la base.</w:t>
      </w:r>
    </w:p>
    <w:p>
      <w:pPr/>
      <w:r>
        <w:t>Snapshots: Backend 345a8b3; Frontend d0648c1; DB e6b84c5; Infra d06a61c. Corte estático: 28-10-2026.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