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PLAN DE PRUEBAS</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Plan de pruebas funcionales, no funcionales y de seguridad con resultados conocidos y pendientes, sin atribuir pruebas simuladas a ejecución real.</w:t>
      </w:r>
      <w:r>
        <w:t xml:space="preserve"> Esta revisión incorpora el estado de los repositorios al 28 de octubre de 2026; el anexo separa código presente de validación ejecutada.</w:t>
      </w:r>
    </w:p>
    <w:p>
      <w:pPr>
        <w:pStyle w:val="Heading1"/>
      </w:pPr>
      <w:r>
        <w:t>Contenido</w:t>
      </w:r>
    </w:p>
    <w:p>
      <w:pPr>
        <w:ind w:firstLine="720"/>
      </w:pPr>
      <w:r>
        <w:t>1. Método y alcance</w:t>
      </w:r>
    </w:p>
    <w:p>
      <w:pPr>
        <w:ind w:firstLine="720"/>
      </w:pPr>
      <w:r>
        <w:t>2. Matriz de pruebas</w:t>
      </w:r>
    </w:p>
    <w:p>
      <w:pPr>
        <w:ind w:firstLine="720"/>
      </w:pPr>
      <w:r>
        <w:t>3. Procedimientos reproducibles</w:t>
      </w:r>
    </w:p>
    <w:p>
      <w:pPr>
        <w:ind w:firstLine="720"/>
      </w:pPr>
      <w:r>
        <w:t>4. Evidencias y criterios de cierre</w:t>
      </w:r>
    </w:p>
    <w:p>
      <w:pPr>
        <w:ind w:firstLine="720"/>
      </w:pPr>
      <w:r>
        <w:t>5. Referencias</w:t>
      </w:r>
    </w:p>
    <w:p>
      <w:r>
        <w:br w:type="page"/>
      </w:r>
    </w:p>
    <w:p>
      <w:pPr/>
      <w:r>
        <w:t>Anexo. Actualización técnica (28 de octubre de 2026)</w:t>
      </w:r>
    </w:p>
    <w:p>
      <w:pPr>
        <w:pStyle w:val="Heading1"/>
      </w:pPr>
      <w:r>
        <w:t>1. Método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Método: revisión estática, pruebas unitarias, smoke tests HTTP, pruebas manuales con navegador y pruebas nativas Android pendientes.</w:t>
      </w:r>
    </w:p>
    <w:p>
      <w:pPr>
        <w:pStyle w:val="Heading1"/>
      </w:pPr>
      <w:r>
        <w:t>2. Matriz de pruebas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Código</w:t>
            </w:r>
          </w:p>
        </w:tc>
        <w:tc>
          <w:tcPr>
            <w:tcW w:type="dxa" w:w="3120"/>
          </w:tcPr>
          <w:p>
            <w:pPr>
              <w:spacing w:line="240" w:lineRule="auto"/>
              <w:ind w:firstLine="0"/>
            </w:pPr>
            <w:r>
              <w:rPr>
                <w:sz w:val="18"/>
              </w:rPr>
              <w:t>Prueba</w:t>
            </w:r>
          </w:p>
        </w:tc>
        <w:tc>
          <w:tcPr>
            <w:tcW w:type="dxa" w:w="3120"/>
          </w:tcPr>
          <w:p>
            <w:pPr>
              <w:spacing w:line="240" w:lineRule="auto"/>
              <w:ind w:firstLine="0"/>
            </w:pPr>
            <w:r>
              <w:rPr>
                <w:sz w:val="18"/>
              </w:rPr>
              <w:t>Evidencia / estado</w:t>
            </w:r>
          </w:p>
        </w:tc>
      </w:tr>
      <w:tr>
        <w:tc>
          <w:tcPr>
            <w:tcW w:type="dxa" w:w="3120"/>
          </w:tcPr>
          <w:p>
            <w:pPr>
              <w:spacing w:line="240" w:lineRule="auto"/>
              <w:ind w:firstLine="0"/>
            </w:pPr>
            <w:r>
              <w:rPr>
                <w:sz w:val="18"/>
              </w:rPr>
              <w:t>T01</w:t>
            </w:r>
          </w:p>
        </w:tc>
        <w:tc>
          <w:tcPr>
            <w:tcW w:type="dxa" w:w="3120"/>
          </w:tcPr>
          <w:p>
            <w:pPr>
              <w:spacing w:line="240" w:lineRule="auto"/>
              <w:ind w:firstLine="0"/>
            </w:pPr>
            <w:r>
              <w:rPr>
                <w:sz w:val="18"/>
              </w:rPr>
              <w:t>Maven verify backend HU-29</w:t>
            </w:r>
          </w:p>
        </w:tc>
        <w:tc>
          <w:tcPr>
            <w:tcW w:type="dxa" w:w="3120"/>
          </w:tcPr>
          <w:p>
            <w:pPr>
              <w:spacing w:line="240" w:lineRule="auto"/>
              <w:ind w:firstLine="0"/>
            </w:pPr>
            <w:r>
              <w:rPr>
                <w:sz w:val="18"/>
              </w:rPr>
              <w:t>Codex reportó 23 pruebas, 0 fallos</w:t>
            </w:r>
          </w:p>
        </w:tc>
      </w:tr>
      <w:tr>
        <w:tc>
          <w:tcPr>
            <w:tcW w:type="dxa" w:w="3120"/>
          </w:tcPr>
          <w:p>
            <w:pPr>
              <w:spacing w:line="240" w:lineRule="auto"/>
              <w:ind w:firstLine="0"/>
            </w:pPr>
            <w:r>
              <w:rPr>
                <w:sz w:val="18"/>
              </w:rPr>
              <w:t>T02</w:t>
            </w:r>
          </w:p>
        </w:tc>
        <w:tc>
          <w:tcPr>
            <w:tcW w:type="dxa" w:w="3120"/>
          </w:tcPr>
          <w:p>
            <w:pPr>
              <w:spacing w:line="240" w:lineRule="auto"/>
              <w:ind w:firstLine="0"/>
            </w:pPr>
            <w:r>
              <w:rPr>
                <w:sz w:val="18"/>
              </w:rPr>
              <w:t>docker build backend</w:t>
            </w:r>
          </w:p>
        </w:tc>
        <w:tc>
          <w:tcPr>
            <w:tcW w:type="dxa" w:w="3120"/>
          </w:tcPr>
          <w:p>
            <w:pPr>
              <w:spacing w:line="240" w:lineRule="auto"/>
              <w:ind w:firstLine="0"/>
            </w:pPr>
            <w:r>
              <w:rPr>
                <w:sz w:val="18"/>
              </w:rPr>
              <w:t>Usuario reportó 16/16 etapas, completado</w:t>
            </w:r>
          </w:p>
        </w:tc>
      </w:tr>
      <w:tr>
        <w:tc>
          <w:tcPr>
            <w:tcW w:type="dxa" w:w="3120"/>
          </w:tcPr>
          <w:p>
            <w:pPr>
              <w:spacing w:line="240" w:lineRule="auto"/>
              <w:ind w:firstLine="0"/>
            </w:pPr>
            <w:r>
              <w:rPr>
                <w:sz w:val="18"/>
              </w:rPr>
              <w:t>T03</w:t>
            </w:r>
          </w:p>
        </w:tc>
        <w:tc>
          <w:tcPr>
            <w:tcW w:type="dxa" w:w="3120"/>
          </w:tcPr>
          <w:p>
            <w:pPr>
              <w:spacing w:line="240" w:lineRule="auto"/>
              <w:ind w:firstLine="0"/>
            </w:pPr>
            <w:r>
              <w:rPr>
                <w:sz w:val="18"/>
              </w:rPr>
              <w:t>Arranque Render backend</w:t>
            </w:r>
          </w:p>
        </w:tc>
        <w:tc>
          <w:tcPr>
            <w:tcW w:type="dxa" w:w="3120"/>
          </w:tcPr>
          <w:p>
            <w:pPr>
              <w:spacing w:line="240" w:lineRule="auto"/>
              <w:ind w:firstLine="0"/>
            </w:pPr>
            <w:r>
              <w:rPr>
                <w:sz w:val="18"/>
              </w:rPr>
              <w:t>Tomcat 8080; servicio Live el 2026-10-16</w:t>
            </w:r>
          </w:p>
        </w:tc>
      </w:tr>
      <w:tr>
        <w:tc>
          <w:tcPr>
            <w:tcW w:type="dxa" w:w="3120"/>
          </w:tcPr>
          <w:p>
            <w:pPr>
              <w:spacing w:line="240" w:lineRule="auto"/>
              <w:ind w:firstLine="0"/>
            </w:pPr>
            <w:r>
              <w:rPr>
                <w:sz w:val="18"/>
              </w:rPr>
              <w:t>T04</w:t>
            </w:r>
          </w:p>
        </w:tc>
        <w:tc>
          <w:tcPr>
            <w:tcW w:type="dxa" w:w="3120"/>
          </w:tcPr>
          <w:p>
            <w:pPr>
              <w:spacing w:line="240" w:lineRule="auto"/>
              <w:ind w:firstLine="0"/>
            </w:pPr>
            <w:r>
              <w:rPr>
                <w:sz w:val="18"/>
              </w:rPr>
              <w:t>PostgreSQL Render</w:t>
            </w:r>
          </w:p>
        </w:tc>
        <w:tc>
          <w:tcPr>
            <w:tcW w:type="dxa" w:w="3120"/>
          </w:tcPr>
          <w:p>
            <w:pPr>
              <w:spacing w:line="240" w:lineRule="auto"/>
              <w:ind w:firstLine="0"/>
            </w:pPr>
            <w:r>
              <w:rPr>
                <w:sz w:val="18"/>
              </w:rPr>
              <w:t>HikariPool conectó PostgreSQL 15.19</w:t>
            </w:r>
          </w:p>
        </w:tc>
      </w:tr>
      <w:tr>
        <w:tc>
          <w:tcPr>
            <w:tcW w:type="dxa" w:w="3120"/>
          </w:tcPr>
          <w:p>
            <w:pPr>
              <w:spacing w:line="240" w:lineRule="auto"/>
              <w:ind w:firstLine="0"/>
            </w:pPr>
            <w:r>
              <w:rPr>
                <w:sz w:val="18"/>
              </w:rPr>
              <w:t>T05</w:t>
            </w:r>
          </w:p>
        </w:tc>
        <w:tc>
          <w:tcPr>
            <w:tcW w:type="dxa" w:w="3120"/>
          </w:tcPr>
          <w:p>
            <w:pPr>
              <w:spacing w:line="240" w:lineRule="auto"/>
              <w:ind w:firstLine="0"/>
            </w:pPr>
            <w:r>
              <w:rPr>
                <w:sz w:val="18"/>
              </w:rPr>
              <w:t>Expo Web export</w:t>
            </w:r>
          </w:p>
        </w:tc>
        <w:tc>
          <w:tcPr>
            <w:tcW w:type="dxa" w:w="3120"/>
          </w:tcPr>
          <w:p>
            <w:pPr>
              <w:spacing w:line="240" w:lineRule="auto"/>
              <w:ind w:firstLine="0"/>
            </w:pPr>
            <w:r>
              <w:rPr>
                <w:sz w:val="18"/>
              </w:rPr>
              <w:t>Codex reportó export correcto HU-31/32</w:t>
            </w:r>
          </w:p>
        </w:tc>
      </w:tr>
      <w:tr>
        <w:tc>
          <w:tcPr>
            <w:tcW w:type="dxa" w:w="3120"/>
          </w:tcPr>
          <w:p>
            <w:pPr>
              <w:spacing w:line="240" w:lineRule="auto"/>
              <w:ind w:firstLine="0"/>
            </w:pPr>
            <w:r>
              <w:rPr>
                <w:sz w:val="18"/>
              </w:rPr>
              <w:t>T06</w:t>
            </w:r>
          </w:p>
        </w:tc>
        <w:tc>
          <w:tcPr>
            <w:tcW w:type="dxa" w:w="3120"/>
          </w:tcPr>
          <w:p>
            <w:pPr>
              <w:spacing w:line="240" w:lineRule="auto"/>
              <w:ind w:firstLine="0"/>
            </w:pPr>
            <w:r>
              <w:rPr>
                <w:sz w:val="18"/>
              </w:rPr>
              <w:t>Escaneo QR web escritorio/móvil</w:t>
            </w:r>
          </w:p>
        </w:tc>
        <w:tc>
          <w:tcPr>
            <w:tcW w:type="dxa" w:w="3120"/>
          </w:tcPr>
          <w:p>
            <w:pPr>
              <w:spacing w:line="240" w:lineRule="auto"/>
              <w:ind w:firstLine="0"/>
            </w:pPr>
            <w:r>
              <w:rPr>
                <w:sz w:val="18"/>
              </w:rPr>
              <w:t>Fallo reportado; implementación HU-30 sin verificación final</w:t>
            </w:r>
          </w:p>
        </w:tc>
      </w:tr>
      <w:tr>
        <w:tc>
          <w:tcPr>
            <w:tcW w:type="dxa" w:w="3120"/>
          </w:tcPr>
          <w:p>
            <w:pPr>
              <w:spacing w:line="240" w:lineRule="auto"/>
              <w:ind w:firstLine="0"/>
            </w:pPr>
            <w:r>
              <w:rPr>
                <w:sz w:val="18"/>
              </w:rPr>
              <w:t>T07</w:t>
            </w:r>
          </w:p>
        </w:tc>
        <w:tc>
          <w:tcPr>
            <w:tcW w:type="dxa" w:w="3120"/>
          </w:tcPr>
          <w:p>
            <w:pPr>
              <w:spacing w:line="240" w:lineRule="auto"/>
              <w:ind w:firstLine="0"/>
            </w:pPr>
            <w:r>
              <w:rPr>
                <w:sz w:val="18"/>
              </w:rPr>
              <w:t>GPS segundo plano Android</w:t>
            </w:r>
          </w:p>
        </w:tc>
        <w:tc>
          <w:tcPr>
            <w:tcW w:type="dxa" w:w="3120"/>
          </w:tcPr>
          <w:p>
            <w:pPr>
              <w:spacing w:line="240" w:lineRule="auto"/>
              <w:ind w:firstLine="0"/>
            </w:pPr>
            <w:r>
              <w:rPr>
                <w:sz w:val="18"/>
              </w:rPr>
              <w:t>No probado con APK físico</w:t>
            </w:r>
          </w:p>
        </w:tc>
      </w:tr>
      <w:tr>
        <w:tc>
          <w:tcPr>
            <w:tcW w:type="dxa" w:w="3120"/>
          </w:tcPr>
          <w:p>
            <w:pPr>
              <w:spacing w:line="240" w:lineRule="auto"/>
              <w:ind w:firstLine="0"/>
            </w:pPr>
            <w:r>
              <w:rPr>
                <w:sz w:val="18"/>
              </w:rPr>
              <w:t>T08</w:t>
            </w:r>
          </w:p>
        </w:tc>
        <w:tc>
          <w:tcPr>
            <w:tcW w:type="dxa" w:w="3120"/>
          </w:tcPr>
          <w:p>
            <w:pPr>
              <w:spacing w:line="240" w:lineRule="auto"/>
              <w:ind w:firstLine="0"/>
            </w:pPr>
            <w:r>
              <w:rPr>
                <w:sz w:val="18"/>
              </w:rPr>
              <w:t>Correo nuevo dispositivo</w:t>
            </w:r>
          </w:p>
        </w:tc>
        <w:tc>
          <w:tcPr>
            <w:tcW w:type="dxa" w:w="3120"/>
          </w:tcPr>
          <w:p>
            <w:pPr>
              <w:spacing w:line="240" w:lineRule="auto"/>
              <w:ind w:firstLine="0"/>
            </w:pPr>
            <w:r>
              <w:rPr>
                <w:sz w:val="18"/>
              </w:rPr>
              <w:t>Regresión reportada el 2026-10-16</w:t>
            </w:r>
          </w:p>
        </w:tc>
      </w:tr>
      <w:tr>
        <w:tc>
          <w:tcPr>
            <w:tcW w:type="dxa" w:w="3120"/>
          </w:tcPr>
          <w:p>
            <w:pPr>
              <w:spacing w:line="240" w:lineRule="auto"/>
              <w:ind w:firstLine="0"/>
            </w:pPr>
            <w:r>
              <w:rPr>
                <w:sz w:val="18"/>
              </w:rPr>
              <w:t>T09</w:t>
            </w:r>
          </w:p>
        </w:tc>
        <w:tc>
          <w:tcPr>
            <w:tcW w:type="dxa" w:w="3120"/>
          </w:tcPr>
          <w:p>
            <w:pPr>
              <w:spacing w:line="240" w:lineRule="auto"/>
              <w:ind w:firstLine="0"/>
            </w:pPr>
            <w:r>
              <w:rPr>
                <w:sz w:val="18"/>
              </w:rPr>
              <w:t>Checkbox términos</w:t>
            </w:r>
          </w:p>
        </w:tc>
        <w:tc>
          <w:tcPr>
            <w:tcW w:type="dxa" w:w="3120"/>
          </w:tcPr>
          <w:p>
            <w:pPr>
              <w:spacing w:line="240" w:lineRule="auto"/>
              <w:ind w:firstLine="0"/>
            </w:pPr>
            <w:r>
              <w:rPr>
                <w:sz w:val="18"/>
              </w:rPr>
              <w:t>Fallo reportado el 2026-10-16</w:t>
            </w:r>
          </w:p>
        </w:tc>
      </w:tr>
      <w:tr>
        <w:tc>
          <w:tcPr>
            <w:tcW w:type="dxa" w:w="3120"/>
          </w:tcPr>
          <w:p>
            <w:pPr>
              <w:spacing w:line="240" w:lineRule="auto"/>
              <w:ind w:firstLine="0"/>
            </w:pPr>
            <w:r>
              <w:rPr>
                <w:sz w:val="18"/>
              </w:rPr>
              <w:t>T10</w:t>
            </w:r>
          </w:p>
        </w:tc>
        <w:tc>
          <w:tcPr>
            <w:tcW w:type="dxa" w:w="3120"/>
          </w:tcPr>
          <w:p>
            <w:pPr>
              <w:spacing w:line="240" w:lineRule="auto"/>
              <w:ind w:firstLine="0"/>
            </w:pPr>
            <w:r>
              <w:rPr>
                <w:sz w:val="18"/>
              </w:rPr>
              <w:t>Mapas y guardado zonas</w:t>
            </w:r>
          </w:p>
        </w:tc>
        <w:tc>
          <w:tcPr>
            <w:tcW w:type="dxa" w:w="3120"/>
          </w:tcPr>
          <w:p>
            <w:pPr>
              <w:spacing w:line="240" w:lineRule="auto"/>
              <w:ind w:firstLine="0"/>
            </w:pPr>
            <w:r>
              <w:rPr>
                <w:sz w:val="18"/>
              </w:rPr>
              <w:t>Claves configuradas; prueba completa pendiente</w:t>
            </w:r>
          </w:p>
        </w:tc>
      </w:tr>
    </w:tbl>
    <w:p>
      <w:pPr>
        <w:pStyle w:val="Heading1"/>
      </w:pPr>
      <w:r>
        <w:t>3. Procedimientos reproducibles</w:t>
      </w:r>
    </w:p>
    <w:p>
      <w:pPr>
        <w:ind w:firstLine="720"/>
      </w:pPr>
      <w:r>
        <w:t>Para T01: ejecutar .\mvnw.cmd clean verify desde el backend. Para T02: docker build -t gps-guardian-escolar-backend:hu29-test . y conservar código de salida. Para T03: revisar GET /actuator/health y logs del deploy correcto. Para T07: instalar development build Android; iniciar, bloquear pantalla, verificar timestamps en API y panel, retirar conectividad, restaurarla y verificar cola sin duplicados.</w:t>
      </w:r>
    </w:p>
    <w:p>
      <w:pPr>
        <w:pStyle w:val="Heading1"/>
      </w:pPr>
      <w:r>
        <w:t>4. Evidencias y criterios de cierre</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ind w:firstLine="720"/>
      </w:pPr>
      <w:r>
        <w:t>Conservar logs redactados, fecha, versión, dispositivo/navegador, pasos, respuesta esperada, respuesta obtenida y resultado. No adjuntar capturas de contraseñas o información de estudiantes sin anonimizar.</w:t>
      </w:r>
    </w:p>
    <w:p>
      <w:pPr>
        <w:pStyle w:val="Heading1"/>
      </w:pPr>
      <w:r>
        <w:t>5.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Actualización de cobertura de pruebas</w:t>
      </w:r>
    </w:p>
    <w:p>
      <w:pPr>
        <w:pStyle w:val="ListBullet"/>
      </w:pPr>
      <w:r>
        <w:t>Los repositorios ahora incluyen workflows de calidad para backend, frontend y base de datos/infraestructura. En esta actualización documental no se ejecutaron esos workflows ni se atribuye a la rama un resultado de CI.</w:t>
      </w:r>
    </w:p>
    <w:p>
      <w:pPr>
        <w:pStyle w:val="ListBullet"/>
      </w:pPr>
      <w:r>
        <w:t>Agregar evidencia para: bloqueo por intentos y respuesta 429; identificador de dispositivo, confirmación y revocación de sesión; rechazo de reutilización de código QR; autorización de acudientes compartidos; transiciones válidas de trayectos; bootstrap administrativo de una sola vez; y retención de coordenadas.</w:t>
      </w:r>
    </w:p>
    <w:p>
      <w:pPr>
        <w:pStyle w:val="ListBullet"/>
      </w:pPr>
      <w:r>
        <w:t>La prueba del botón de descarga requiere que EXPO_PUBLIC_ANDROID_APK_URL apunte a un artefacto vigente. La disponibilidad del enlace y el funcionamiento GPS deben verificarse en instalación Android real.</w:t>
      </w:r>
    </w:p>
    <w:p>
      <w:pPr>
        <w:pStyle w:val="Heading2"/>
      </w:pPr>
      <w:r>
        <w:t>Cierre de resultados</w:t>
      </w:r>
    </w:p>
    <w:p>
      <w:pPr>
        <w:pStyle w:val="ListBullet"/>
      </w:pPr>
      <w:r>
        <w:t>Conservar comando, versión de la aplicación, fecha, salida y entorno por cada ejecución. Distinguir revisión estática, flujo de calidad configurado, compilación ejecutada, prueba funcional y validación en dispositivo.</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