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300" w:lineRule="auto" w:before="0" w:after="680"/>
        <w:jc w:val="center"/>
      </w:pPr>
      <w:r>
        <w:rPr>
          <w:rFonts w:ascii="Times New Roman" w:hAnsi="Times New Roman" w:eastAsia="Times New Roman"/>
          <w:b/>
          <w:sz w:val="24"/>
        </w:rPr>
        <w:t>MANUAL TÉCNICO</w:t>
      </w:r>
    </w:p>
    <w:p>
      <w:pPr>
        <w:keepLines/>
        <w:spacing w:line="300" w:lineRule="auto" w:before="0" w:after="1840"/>
        <w:jc w:val="center"/>
      </w:pPr>
      <w:r>
        <w:rPr>
          <w:rFonts w:ascii="Times New Roman" w:hAnsi="Times New Roman" w:eastAsia="Times New Roman"/>
          <w:b/>
          <w:sz w:val="24"/>
        </w:rPr>
        <w:t>PROYECTO: SOFTWARE PARA LA CREACIÓN DE LA APLICACIÓN</w:t>
        <w:br/>
        <w:t>“GPS GUARDIAN ESCOLAR”</w:t>
      </w:r>
    </w:p>
    <w:p>
      <w:pPr>
        <w:keepLines/>
        <w:spacing w:line="300" w:lineRule="auto" w:before="0" w:after="1960"/>
        <w:jc w:val="center"/>
      </w:pPr>
      <w:r>
        <w:rPr>
          <w:rFonts w:ascii="Times New Roman" w:hAnsi="Times New Roman" w:eastAsia="Times New Roman"/>
          <w:b/>
          <w:sz w:val="24"/>
        </w:rPr>
        <w:t>INTEGRANTES:</w:t>
        <w:br/>
        <w:t>Nicolas Estid Ruiz Sastoque</w:t>
        <w:br/>
        <w:t>Jhon Camilo Suaza Sánchez</w:t>
        <w:br/>
        <w:t>Kevin Andrey Culma Gómez</w:t>
      </w:r>
    </w:p>
    <w:p>
      <w:pPr>
        <w:keepLines/>
        <w:spacing w:line="300" w:lineRule="auto" w:before="0" w:after="0"/>
        <w:jc w:val="center"/>
      </w:pPr>
      <w:r>
        <w:rPr>
          <w:rFonts w:ascii="Times New Roman" w:hAnsi="Times New Roman" w:eastAsia="Times New Roman"/>
          <w:b/>
          <w:sz w:val="24"/>
        </w:rPr>
        <w:t>INSTRUCTOR:</w:t>
        <w:br/>
        <w:t>MOTTA VARGAS JOSÉ DE JESÚS</w:t>
      </w:r>
    </w:p>
    <w:p>
      <w:pPr>
        <w:keepLines/>
        <w:pageBreakBefore/>
        <w:spacing w:line="300" w:lineRule="auto" w:before="1400" w:after="760"/>
        <w:jc w:val="center"/>
      </w:pPr>
      <w:r>
        <w:rPr>
          <w:rFonts w:ascii="Times New Roman" w:hAnsi="Times New Roman" w:eastAsia="Times New Roman"/>
          <w:b/>
          <w:sz w:val="24"/>
        </w:rPr>
        <w:t>SERVICIO NACIONAL DE APRENDIZAJE – SENA</w:t>
        <w:br/>
        <w:t>ANÁLISIS Y DESARROLLO DE SOFTWARE – 3145555</w:t>
      </w:r>
    </w:p>
    <w:p>
      <w:pPr>
        <w:keepLines/>
        <w:spacing w:line="300" w:lineRule="auto" w:before="0" w:after="0"/>
        <w:jc w:val="center"/>
        <w:sectPr w:rsidR="00FC693F" w:rsidRPr="0006063C" w:rsidSect="00034616">
          <w:type w:val="nextPage"/>
          <w:pgSz w:w="12240" w:h="15840"/>
          <w:pgMar w:top="1440" w:right="1440" w:bottom="1440" w:left="1440" w:header="720" w:footer="720" w:gutter="0"/>
          <w:cols w:space="720"/>
          <w:docGrid w:linePitch="360"/>
        </w:sectPr>
      </w:pPr>
      <w:r>
        <w:rPr>
          <w:rFonts w:ascii="Times New Roman" w:hAnsi="Times New Roman" w:eastAsia="Times New Roman"/>
          <w:b/>
          <w:sz w:val="24"/>
        </w:rPr>
        <w:t>2026</w:t>
      </w:r>
    </w:p>
    <w:p>
      <w:pPr>
        <w:pStyle w:val="Heading1"/>
      </w:pPr>
      <w:r>
        <w:t>Resumen</w:t>
      </w:r>
    </w:p>
    <w:p>
      <w:pPr>
        <w:ind w:firstLine="720"/>
      </w:pPr>
      <w:r>
        <w:t>Guía técnica de arquitectura, estructura de repositorios, entornos, servicios, configuración y diagnóstico de GPS Guardian Escolar.</w:t>
      </w:r>
      <w:r>
        <w:t xml:space="preserve"> Esta revisión incorpora el estado de los repositorios al 28 de octubre de 2026; el anexo separa código presente de validación ejecutada.</w:t>
      </w:r>
    </w:p>
    <w:p>
      <w:pPr>
        <w:pStyle w:val="Heading1"/>
      </w:pPr>
      <w:r>
        <w:t>Contenido</w:t>
      </w:r>
    </w:p>
    <w:p>
      <w:pPr>
        <w:ind w:firstLine="720"/>
      </w:pPr>
      <w:r>
        <w:t>1. Introducción</w:t>
      </w:r>
    </w:p>
    <w:p>
      <w:pPr>
        <w:ind w:firstLine="720"/>
      </w:pPr>
      <w:r>
        <w:t>2. Componentes y dependencias</w:t>
      </w:r>
    </w:p>
    <w:p>
      <w:pPr>
        <w:ind w:firstLine="720"/>
      </w:pPr>
      <w:r>
        <w:t>3. Contratos y configuración</w:t>
      </w:r>
    </w:p>
    <w:p>
      <w:pPr>
        <w:ind w:firstLine="720"/>
      </w:pPr>
      <w:r>
        <w:t>4. Operación y resolución de incidencias</w:t>
      </w:r>
    </w:p>
    <w:p>
      <w:pPr>
        <w:ind w:firstLine="720"/>
      </w:pPr>
      <w:r>
        <w:t>5. Limitaciones conocidas</w:t>
      </w:r>
    </w:p>
    <w:p>
      <w:pPr>
        <w:ind w:firstLine="720"/>
      </w:pPr>
      <w:r>
        <w:t>6. Referencias</w:t>
      </w:r>
    </w:p>
    <w:p>
      <w:r>
        <w:br w:type="page"/>
      </w:r>
    </w:p>
    <w:p>
      <w:pPr/>
      <w:r>
        <w:t>Anexo. Actualización técnica (28 de octubre de 2026)</w:t>
      </w:r>
    </w:p>
    <w:p>
      <w:pPr>
        <w:pStyle w:val="Heading1"/>
      </w:pPr>
      <w:r>
        <w:t>1. Introducción</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pStyle w:val="Heading1"/>
      </w:pPr>
      <w:r>
        <w:t>2. Componentes y dependencias</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Backend Java 17 / Spring Boot 3.5.16; frontend Expo SDK ~57.0.27, expo-camera, expo-location, expo-task-manager, expo-router, React Native, React web; PostgreSQL 15; Liquibase; Brevo vía HTTPS; Google Maps mediante APIs específicas.</w:t>
      </w:r>
    </w:p>
    <w:p>
      <w:pPr>
        <w:pStyle w:val="Heading1"/>
      </w:pPr>
      <w:r>
        <w:t>3. Contratos y configuración</w:t>
      </w:r>
    </w:p>
    <w:p>
      <w:pPr>
        <w:ind w:firstLine="720"/>
      </w:pPr>
      <w:r>
        <w:t>Autenticación: /api/auth/register, /api/auth/login, /api/auth/confirm-login. Mapas: /api/maps/geocode, /api/maps/reverse-geocode, /api/maps/directions, /api/maps/places/autocomplete. Persistencia: /api/routes y /api/safe-zones; ubicación: revisar configuración de prefijos en endpoint de trips.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pStyle w:val="Heading1"/>
      </w:pPr>
      <w:r>
        <w:t>4. Operación y resolución de incidencias</w:t>
      </w:r>
    </w:p>
    <w:p>
      <w:pPr>
        <w:ind w:firstLine="720"/>
      </w:pPr>
      <w:r>
        <w:t>En Render revisar estado Live, log de arranque, Hikari, puerto Tomcat 8080, health y errores 401/403/429/502/503. En Docker usar docker compose ps/logs y nunca ejecutar down -v si se deben conservar datos. En frontend asegurar build-time de EXPO_PUBLIC_GOOGLE_MAPS_API_KEY.</w:t>
      </w:r>
    </w:p>
    <w:p>
      <w:pPr>
        <w:pStyle w:val="Heading1"/>
      </w:pPr>
      <w:r>
        <w:t>5. Limitaciones conocidas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[Código fuente no publicado en esta entrega].</w:t>
      </w:r>
    </w:p>
    <w:p>
      <w:pPr>
        <w:ind w:firstLine="720"/>
      </w:pPr>
      <w:r>
        <w:t>GPS Guardian Escolar. (2026b). *Fronted-GuardianEscolar-elop*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Controles técnicos añadidos</w:t>
      </w:r>
    </w:p>
    <w:p>
      <w:pPr>
        <w:pStyle w:val="ListBullet"/>
      </w:pPr>
      <w:r>
        <w:t>Autenticación y sesiones: configurar identificador de dispositivo en clientes, revisar limitación de intentos y respuesta 429; los tokens persistidos y códigos de enlace se protegen mediante hash. Rotar secretos ante exposición y revocar sesiones según el procedimiento disponible.</w:t>
      </w:r>
    </w:p>
    <w:p>
      <w:pPr>
        <w:pStyle w:val="ListBullet"/>
      </w:pPr>
      <w:r>
        <w:t>Datos: distinguir credenciales del administrador PostgreSQL y del rol de aplicación. APP_DB_PASSWORD exige al menos 32 caracteres en el formato documentado. El bootstrap de administrador solo se ejecuta mediante contexto explícito; prod ordinario no debe conservar sus variables.</w:t>
      </w:r>
    </w:p>
    <w:p>
      <w:pPr>
        <w:pStyle w:val="ListBullet"/>
      </w:pPr>
      <w:r>
        <w:t>Operación: la función de purga de coordenadas es manual, restringida y solo aplica a trayectos cerrados anteriores a la fecha de corte. La periodicidad y retención deben aprobarse antes de programarla.</w:t>
      </w:r>
    </w:p>
    <w:p>
      <w:pPr>
        <w:pStyle w:val="ListBullet"/>
      </w:pPr>
      <w:r>
        <w:t>Errores y contratos: consultar las respuestas tipadas de API y la documentación OpenAPI; no interpretar errores 4xx/5xx como éxito. Las notificaciones requieren configuración de correo, Expo Push o SMS.</w:t>
      </w:r>
    </w:p>
    <w:p>
      <w:pPr>
        <w:pStyle w:val="Heading2"/>
      </w:pPr>
      <w:r>
        <w:t>Fuente de versión</w:t>
      </w:r>
    </w:p>
    <w:p>
      <w:pPr>
        <w:pStyle w:val="ListBullet"/>
      </w:pPr>
      <w:r>
        <w:t>Este manual se cotejó con la estructura de los repositorios y sus archivos de configuración. Validar los nombres de variables contra el archivo .env.example de cada repositorio antes de cada despliegue.</w:t>
      </w:r>
    </w:p>
    <w:p>
      <w:pPr/>
      <w:r>
        <w:t>Revisión técnica estática realizada el 28 de octubre de 2026. No se ejecutaron pruebas, compilaciones ni despliegues en esta actualización.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