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56F8418">
      <w:pPr>
        <w:pStyle w:val="BodyText"/>
        <w:jc w:val="left"/>
      </w:pPr>
    </w:p>
    <w:p w14:paraId="1889F662">
      <w:pPr>
        <w:pStyle w:val="BodyText"/>
        <w:jc w:val="left"/>
      </w:pPr>
    </w:p>
    <w:p w14:paraId="690A58C1">
      <w:pPr>
        <w:pStyle w:val="BodyText"/>
        <w:spacing w:before="223"/>
        <w:jc w:val="left"/>
      </w:pPr>
    </w:p>
    <w:p w14:paraId="59AB332D">
      <w:pPr>
        <w:spacing w:before="1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4FC4C572">
      <w:pPr>
        <w:pStyle w:val="BodyText"/>
        <w:jc w:val="left"/>
        <w:rPr>
          <w:b/>
        </w:rPr>
      </w:pPr>
    </w:p>
    <w:p w14:paraId="7F5C729E">
      <w:pPr>
        <w:pStyle w:val="BodyText"/>
        <w:jc w:val="left"/>
        <w:rPr>
          <w:b/>
        </w:rPr>
      </w:pPr>
    </w:p>
    <w:p w14:paraId="78179345">
      <w:pPr>
        <w:pStyle w:val="BodyText"/>
        <w:spacing w:before="272"/>
        <w:jc w:val="left"/>
        <w:rPr>
          <w:b/>
        </w:rPr>
      </w:pPr>
    </w:p>
    <w:p w14:paraId="28C82D18"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Procedimiento de implementación del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>software</w:t>
      </w:r>
    </w:p>
    <w:p w14:paraId="0BFC3720">
      <w:pPr>
        <w:pStyle w:val="BodyText"/>
        <w:jc w:val="left"/>
        <w:rPr>
          <w:b/>
          <w:sz w:val="30"/>
        </w:rPr>
      </w:pPr>
    </w:p>
    <w:p w14:paraId="5EF96916">
      <w:pPr>
        <w:pStyle w:val="BodyText"/>
        <w:jc w:val="left"/>
        <w:rPr>
          <w:b/>
          <w:sz w:val="30"/>
        </w:rPr>
      </w:pPr>
    </w:p>
    <w:p w14:paraId="449AB0A8">
      <w:pPr>
        <w:pStyle w:val="BodyText"/>
        <w:jc w:val="left"/>
        <w:rPr>
          <w:b/>
          <w:sz w:val="30"/>
        </w:rPr>
      </w:pPr>
      <w:r>
        <w:t xml:space="preserve"> </w:t>
      </w:r>
    </w:p>
    <w:p w14:paraId="0439DC91">
      <w:pPr>
        <w:pStyle w:val="BodyText"/>
        <w:spacing w:line="240" w:lineRule="auto"/>
        <w:jc w:val="left"/>
      </w:pPr>
    </w:p>
    <w:p w14:paraId="6DEA73C9">
      <w:pPr>
        <w:pStyle w:val="BodyText"/>
        <w:spacing w:line="240" w:lineRule="auto"/>
        <w:jc w:val="left"/>
      </w:pPr>
    </w:p>
    <w:p w14:paraId="306546F3">
      <w:pPr>
        <w:pStyle w:val="BodyText"/>
        <w:spacing w:line="240" w:lineRule="auto"/>
        <w:jc w:val="left"/>
      </w:pPr>
    </w:p>
    <w:p w14:paraId="57773DA9">
      <w:pPr>
        <w:pStyle w:val="BodyText"/>
        <w:spacing w:line="240" w:lineRule="auto"/>
        <w:jc w:val="left"/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961A5D">
      <w:pPr>
        <w:pStyle w:val="Title"/>
        <w:spacing w:before="1" w:line="240" w:lineRule="auto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6AA6A56C">
      <w:pPr>
        <w:pStyle w:val="Title"/>
        <w:spacing w:before="1" w:line="240" w:lineRule="auto"/>
      </w:pPr>
    </w:p>
    <w:p w14:paraId="0329C2A1">
      <w:pPr>
        <w:pStyle w:val="Title"/>
        <w:spacing w:before="1" w:line="240" w:lineRule="auto"/>
      </w:pPr>
    </w:p>
    <w:p w14:paraId="047F0FE4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3127641C">
      <w:r>
        <w:t xml:space="preserve">  </w:t>
      </w:r>
    </w:p>
    <w:p w14:paraId="0E083111"/>
    <w:p w14:paraId="6E0C9ACF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62B71131">
      <w:pPr>
        <w:spacing w:before="80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 w14:paraId="4CA4E81B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00E7612E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Objetivo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ámbito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esta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2"/>
                <w:szCs w:val="22"/>
              </w:rPr>
              <w:t>guía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2676C673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Dependencias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prerrequisitos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4457A571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Topología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exigida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por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Docker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Compose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central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631A363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Preparación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segura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variables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65EEB27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Arranque</w:t>
            </w:r>
            <w:r>
              <w:rPr>
                <w:rFonts w:ascii="Times New Roman" w:hAnsi="Times New Roman" w:eastAsia="Times New Roman" w:cs="Times New Roman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integrado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2299B77A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Preparación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BD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backend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sin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Compose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central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56D03C72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Expo/web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cliente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nativo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6966AAB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Verificación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despliegue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rollback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29E8DA49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Lista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aceptación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despliegue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201DF27F">
          <w:pPr>
            <w:pStyle w:val="TOC1"/>
            <w:numPr>
              <w:ilvl w:val="0"/>
              <w:numId w:val="1"/>
            </w:numPr>
            <w:tabs>
              <w:tab w:val="left" w:pos="336"/>
              <w:tab w:val="right" w:pos="9359" w:leader="dot"/>
            </w:tabs>
            <w:spacing w:before="247" w:after="0" w:line="240" w:lineRule="auto"/>
            <w:ind w:left="336" w:right="0" w:hanging="336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Incidencias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conocidas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antes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del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despliegue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513B3DDE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71111BC1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</w:sdtContent>
    </w:sdt>
    <w:p w14:paraId="1028DEBE">
      <w:pPr>
        <w:pStyle w:val="TOC1"/>
        <w:spacing w:after="0"/>
        <w:jc w:val="left"/>
        <w:sectPr>
          <w:pgSz w:w="12240" w:h="15840"/>
          <w:pgMar w:top="1360" w:right="1080" w:bottom="280" w:left="1440" w:header="338" w:footer="0"/>
        </w:sectPr>
      </w:pPr>
    </w:p>
    <w:p w14:paraId="5D594F79">
      <w:pPr>
        <w:pStyle w:val="Heading1"/>
        <w:spacing w:before="80"/>
        <w:ind w:left="1965" w:right="2323"/>
        <w:jc w:val="center"/>
      </w:pPr>
      <w:bookmarkStart w:id="1" w:name="_bookmark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Introducción y criterios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actualización</w:t>
      </w:r>
      <w:bookmarkEnd w:id="1"/>
    </w:p>
    <w:p w14:paraId="6CF0D8E9">
      <w:pPr>
        <w:pStyle w:val="BodyText"/>
        <w:spacing w:before="127"/>
        <w:jc w:val="left"/>
        <w:rPr>
          <w:b/>
        </w:rPr>
      </w:pPr>
    </w:p>
    <w:p w14:paraId="6C8602D0">
      <w:pPr>
        <w:pStyle w:val="BodyText"/>
        <w:spacing w:before="1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Los pasos operativos se fundamentan en configuraciones, scripts y dependencias suministrados por el proyecto (Equipo GPS Guardian Escolar, 2026). La separación de actividades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implementación,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validación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operación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relaciona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gestión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ciclo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vida descrita en ISO/IEC/IEEE (2026).</w:t>
      </w:r>
    </w:p>
    <w:p w14:paraId="14774B28">
      <w:pPr>
        <w:pStyle w:val="BodyText"/>
        <w:spacing w:before="39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contenido que sigue se conserva y actualiza a partir de la revisión técnica precedente. 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bibliográficas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aportan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criterios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sustituyen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primaria del sistema.</w:t>
      </w:r>
    </w:p>
    <w:p w14:paraId="21331882">
      <w:pPr>
        <w:spacing w:before="39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Proyecto: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GPS Guardian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Escolar</w:t>
      </w:r>
    </w:p>
    <w:p w14:paraId="3839C560">
      <w:pPr>
        <w:pStyle w:val="BodyText"/>
        <w:spacing w:before="204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Edición: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2026-10-09 · Revisión técnica para entregable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2.5.4</w:t>
      </w:r>
    </w:p>
    <w:p w14:paraId="55975DEF">
      <w:pPr>
        <w:spacing w:before="204" w:line="415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Fuentes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principales: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SRS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existentes;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estructura SQL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 infraestructura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los ZIP tecnicos entregados.</w:t>
      </w:r>
    </w:p>
    <w:p w14:paraId="24DA0DE5">
      <w:pPr>
        <w:spacing w:before="104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Estado según  2.5.4: Revision.</w:t>
      </w:r>
    </w:p>
    <w:p w14:paraId="641F047B">
      <w:pPr>
        <w:pStyle w:val="BodyText"/>
        <w:spacing w:before="228"/>
        <w:jc w:val="left"/>
      </w:pPr>
    </w:p>
    <w:p w14:paraId="5ABA48D2">
      <w:pPr>
        <w:pStyle w:val="BodyText"/>
        <w:spacing w:before="228" w:line="240" w:lineRule="auto"/>
      </w:pPr>
    </w:p>
    <w:p w14:paraId="521AF494">
      <w:pPr>
        <w:pStyle w:val="Heading1"/>
        <w:numPr>
          <w:ilvl w:val="0"/>
          <w:numId w:val="2"/>
        </w:numPr>
        <w:tabs>
          <w:tab w:val="left" w:pos="3243"/>
        </w:tabs>
        <w:spacing w:before="0" w:after="0" w:line="240" w:lineRule="auto"/>
        <w:ind w:left="324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Objetivo y ámbito de esta 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>guía</w:t>
      </w:r>
    </w:p>
    <w:p w14:paraId="2C5F8E0B">
      <w:pPr>
        <w:pStyle w:val="BodyText"/>
        <w:spacing w:before="128"/>
        <w:jc w:val="left"/>
        <w:rPr>
          <w:b/>
        </w:rPr>
      </w:pPr>
    </w:p>
    <w:p w14:paraId="2D327B68">
      <w:pPr>
        <w:spacing w:before="1" w:line="417" w:lineRule="auto"/>
        <w:ind w:left="0" w:right="0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Procedimiento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nuevo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desarrollar/levantar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instancia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local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PostgreSQL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15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→ Liquibase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→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Spring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Boot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→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Expo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web/Nginx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ejecutar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cliente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nativo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Metro.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Los comandos están alineados al Compose central; no son constancia de que se ejecutaron en este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entorno.</w:t>
      </w:r>
    </w:p>
    <w:p w14:paraId="1692406B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23E07EC2">
      <w:pPr>
        <w:pStyle w:val="Heading1"/>
        <w:numPr>
          <w:ilvl w:val="0"/>
          <w:numId w:val="2"/>
        </w:numPr>
        <w:tabs>
          <w:tab w:val="left" w:pos="3246"/>
        </w:tabs>
        <w:spacing w:before="80" w:after="0" w:line="240" w:lineRule="auto"/>
        <w:ind w:left="3246" w:right="0" w:hanging="240"/>
        <w:jc w:val="left"/>
      </w:pPr>
      <w:bookmarkStart w:id="2" w:name="_bookmark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Dependencias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prerrequisitos</w:t>
      </w:r>
      <w:bookmarkEnd w:id="2"/>
    </w:p>
    <w:p w14:paraId="50111838">
      <w:pPr>
        <w:pStyle w:val="BodyText"/>
        <w:spacing w:before="127"/>
        <w:jc w:val="left"/>
        <w:rPr>
          <w:b/>
        </w:rPr>
      </w:pPr>
    </w:p>
    <w:p w14:paraId="0AA5A527">
      <w:pPr>
        <w:pStyle w:val="BodyText"/>
        <w:spacing w:before="1" w:line="415" w:lineRule="auto"/>
        <w:ind w:right="25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Docker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Desktop/Engine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docker</w:t>
      </w:r>
      <w:r>
        <w:rPr>
          <w:rFonts w:ascii="Courier New" w:hAnsi="Courier New" w:eastAsia="Times New Roman" w:cs="Times New Roman"/>
          <w:spacing w:val="-6"/>
          <w:sz w:val="18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compose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repositorios,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espacio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disco,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puertos host 5432/8080/8081 libres y credenciales propias. Para ejecución individual: Java 17, Maven Wrapper, Node/npm y teléfono/emulador para Expo. Evitar revelar secretos en capturas. La BD del Compose central usa servicio </w:t>
      </w:r>
      <w:r>
        <w:rPr>
          <w:rFonts w:ascii="Courier New" w:hAnsi="Courier New" w:eastAsia="Times New Roman" w:cs="Times New Roman"/>
          <w:sz w:val="18"/>
          <w:szCs w:val="24"/>
        </w:rPr>
        <w:t>database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el Compose aislado de base de datos usa </w:t>
      </w:r>
      <w:r>
        <w:rPr>
          <w:rFonts w:ascii="Courier New" w:hAnsi="Courier New" w:eastAsia="Times New Roman" w:cs="Times New Roman"/>
          <w:sz w:val="18"/>
          <w:szCs w:val="24"/>
        </w:rPr>
        <w:t>postgres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51AFDF1">
      <w:pPr>
        <w:pStyle w:val="BodyText"/>
        <w:spacing w:before="29"/>
        <w:jc w:val="left"/>
      </w:pPr>
    </w:p>
    <w:p w14:paraId="466DF193">
      <w:pPr>
        <w:pStyle w:val="Heading1"/>
        <w:numPr>
          <w:ilvl w:val="0"/>
          <w:numId w:val="2"/>
        </w:numPr>
        <w:tabs>
          <w:tab w:val="left" w:pos="2383"/>
        </w:tabs>
        <w:spacing w:before="1" w:after="0" w:line="240" w:lineRule="auto"/>
        <w:ind w:left="238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Topología exigida por Docker Compose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central</w:t>
      </w:r>
    </w:p>
    <w:p w14:paraId="76386FD8">
      <w:pPr>
        <w:pStyle w:val="BodyText"/>
        <w:spacing w:before="140"/>
        <w:jc w:val="left"/>
        <w:rPr>
          <w:b/>
        </w:rPr>
      </w:pPr>
    </w:p>
    <w:p w14:paraId="55CA039C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GPS-Guardian-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Escolar/</w:t>
      </w:r>
    </w:p>
    <w:p w14:paraId="2319379D">
      <w:pPr>
        <w:spacing w:before="68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├── Docker-Infra-Guardian-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>Escolar/</w:t>
      </w:r>
    </w:p>
    <w:p w14:paraId="1B1389EB">
      <w:pPr>
        <w:tabs>
          <w:tab w:val="left" w:pos="695"/>
        </w:tabs>
        <w:spacing w:before="67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pacing w:val="-10"/>
          <w:sz w:val="17"/>
          <w:szCs w:val="22"/>
        </w:rPr>
        <w:t>│</w:t>
      </w:r>
      <w:r>
        <w:tab/>
      </w:r>
      <w:r>
        <w:rPr>
          <w:rFonts w:ascii="Courier New" w:hAnsi="Courier New" w:eastAsia="Times New Roman" w:cs="Times New Roman"/>
          <w:sz w:val="17"/>
          <w:szCs w:val="22"/>
        </w:rPr>
        <w:t>├── docker-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>compose.yaml</w:t>
      </w:r>
    </w:p>
    <w:p w14:paraId="2745D3AF">
      <w:pPr>
        <w:tabs>
          <w:tab w:val="left" w:pos="695"/>
        </w:tabs>
        <w:spacing w:before="67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pacing w:val="-10"/>
          <w:sz w:val="17"/>
          <w:szCs w:val="22"/>
        </w:rPr>
        <w:t>│</w:t>
      </w:r>
      <w:r>
        <w:tab/>
      </w:r>
      <w:r>
        <w:rPr>
          <w:rFonts w:ascii="Courier New" w:hAnsi="Courier New" w:eastAsia="Times New Roman" w:cs="Times New Roman"/>
          <w:sz w:val="17"/>
          <w:szCs w:val="22"/>
        </w:rPr>
        <w:t>└──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>.env</w:t>
      </w:r>
    </w:p>
    <w:p w14:paraId="0238509C">
      <w:pPr>
        <w:spacing w:before="68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├── Backend-Guardian-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>Escolar/</w:t>
      </w:r>
    </w:p>
    <w:p w14:paraId="029B56DB">
      <w:pPr>
        <w:spacing w:before="67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├── Fronted-GuardianEscolar-</w:t>
      </w:r>
      <w:r>
        <w:rPr>
          <w:rFonts w:ascii="Courier New" w:hAnsi="Courier New" w:eastAsia="Times New Roman" w:cs="Times New Roman"/>
          <w:spacing w:val="-10"/>
          <w:sz w:val="17"/>
          <w:szCs w:val="22"/>
        </w:rPr>
        <w:t>/</w:t>
      </w:r>
    </w:p>
    <w:p w14:paraId="3A864122">
      <w:pPr>
        <w:spacing w:before="68"/>
        <w:ind w:left="288" w:right="0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└── DB-Structure-Guardian-</w:t>
      </w:r>
      <w:r>
        <w:rPr>
          <w:rFonts w:ascii="Courier New" w:hAnsi="Courier New" w:eastAsia="Times New Roman" w:cs="Times New Roman"/>
          <w:spacing w:val="-2"/>
          <w:sz w:val="17"/>
          <w:szCs w:val="22"/>
        </w:rPr>
        <w:t>Escolar/</w:t>
      </w:r>
    </w:p>
    <w:p w14:paraId="6124CE5C">
      <w:pPr>
        <w:pStyle w:val="BodyText"/>
        <w:spacing w:before="22"/>
        <w:jc w:val="left"/>
        <w:rPr>
          <w:rFonts w:ascii="Courier New"/>
          <w:sz w:val="17"/>
        </w:rPr>
      </w:pPr>
    </w:p>
    <w:p w14:paraId="1748B064">
      <w:pPr>
        <w:pStyle w:val="BodyText"/>
        <w:spacing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Importante: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los ZIP fueron extraídos con sufijos </w:t>
      </w:r>
      <w:r>
        <w:rPr>
          <w:rFonts w:ascii="Courier New" w:hAnsi="Courier New" w:eastAsia="Times New Roman" w:cs="Times New Roman"/>
          <w:sz w:val="18"/>
          <w:szCs w:val="24"/>
        </w:rPr>
        <w:t>-dev</w:t>
      </w:r>
      <w:r>
        <w:rPr>
          <w:rFonts w:ascii="Courier New" w:hAnsi="Courier New" w:eastAsia="Times New Roman" w:cs="Times New Roman"/>
          <w:spacing w:val="-36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y </w:t>
      </w:r>
      <w:r>
        <w:rPr>
          <w:rFonts w:ascii="Courier New" w:hAnsi="Courier New" w:eastAsia="Times New Roman" w:cs="Times New Roman"/>
          <w:sz w:val="18"/>
          <w:szCs w:val="24"/>
        </w:rPr>
        <w:t>--develop</w:t>
      </w:r>
      <w:r>
        <w:rPr>
          <w:rFonts w:ascii="Times New Roman" w:hAnsi="Times New Roman" w:eastAsia="Times New Roman" w:cs="Times New Roman"/>
          <w:sz w:val="24"/>
          <w:szCs w:val="24"/>
        </w:rPr>
        <w:t>; deben ubicarse o renombrarse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nombres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contextos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relativos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docker-compose.yaml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 editarse los contextos con trazabilidad. No ejecutar el Compose central y el Compose independiente de DB simultáneamente sobre el mismo 5432 sin cambiar sus puertos.</w:t>
      </w:r>
    </w:p>
    <w:p w14:paraId="44C6AB36">
      <w:pPr>
        <w:pStyle w:val="BodyText"/>
        <w:spacing w:before="30"/>
        <w:jc w:val="left"/>
      </w:pPr>
    </w:p>
    <w:p w14:paraId="60F52CFC">
      <w:pPr>
        <w:pStyle w:val="Heading1"/>
        <w:numPr>
          <w:ilvl w:val="0"/>
          <w:numId w:val="2"/>
        </w:numPr>
        <w:tabs>
          <w:tab w:val="left" w:pos="3150"/>
        </w:tabs>
        <w:spacing w:before="0" w:after="0" w:line="240" w:lineRule="auto"/>
        <w:ind w:left="315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Preparación segura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variables</w:t>
      </w:r>
    </w:p>
    <w:p w14:paraId="00B35215">
      <w:pPr>
        <w:pStyle w:val="BodyText"/>
        <w:spacing w:before="140"/>
        <w:jc w:val="left"/>
        <w:rPr>
          <w:b/>
        </w:rPr>
      </w:pPr>
    </w:p>
    <w:p w14:paraId="2051623A">
      <w:pPr>
        <w:spacing w:before="1" w:line="324" w:lineRule="auto"/>
        <w:ind w:left="288" w:right="5961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cd</w:t>
      </w:r>
      <w:r>
        <w:rPr>
          <w:rFonts w:ascii="Courier New" w:hAnsi="Times New Roman" w:eastAsia="Times New Roman" w:cs="Times New Roman"/>
          <w:spacing w:val="-26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.\Docker-Infra-Guardian-</w:t>
      </w:r>
      <w:r>
        <w:rPr>
          <w:rFonts w:ascii="Courier New" w:hAnsi="Times New Roman" w:eastAsia="Times New Roman" w:cs="Times New Roman"/>
          <w:sz w:val="17"/>
          <w:szCs w:val="22"/>
        </w:rPr>
        <w:t>Escolar Copy-Item .env.example .env</w:t>
      </w:r>
    </w:p>
    <w:p w14:paraId="555080DA">
      <w:pPr>
        <w:spacing w:before="0" w:line="324" w:lineRule="auto"/>
        <w:ind w:left="288" w:right="2355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#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Abrir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.env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en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un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editor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y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establecer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POSTGRES_PASSWORD,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JWT_SECRET, # CORS_ALLOWED_ORIGINS y URLs accesibles. No versionar .env.</w:t>
      </w:r>
    </w:p>
    <w:p w14:paraId="1250CC9C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docker compose --env-file .env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config</w:t>
      </w:r>
    </w:p>
    <w:p w14:paraId="6F8CD533">
      <w:pPr>
        <w:pStyle w:val="BodyText"/>
        <w:spacing w:before="22"/>
        <w:jc w:val="left"/>
        <w:rPr>
          <w:rFonts w:ascii="Courier New"/>
          <w:sz w:val="17"/>
        </w:rPr>
      </w:pPr>
    </w:p>
    <w:p w14:paraId="2FD5DEA9">
      <w:pPr>
        <w:spacing w:before="0" w:line="415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Las claves de Google Maps/SMTP/SMS/Push se pueden dejar desactivadas en el desarrollo inicial, pero no se debe afirmar el funcionamiento de esos servicios mientras estén deshabilitados.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Revisar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CFG-01: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Spring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lee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GPS_ROUTE_DEVIATION_THRESHOLD_METERS</w:t>
      </w:r>
      <w:r>
        <w:rPr>
          <w:rFonts w:ascii="Times New Roman" w:hAnsi="Times New Roman" w:eastAsia="Times New Roman" w:cs="Times New Roman"/>
          <w:sz w:val="24"/>
          <w:szCs w:val="22"/>
        </w:rPr>
        <w:t>;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Compose muestra </w:t>
      </w:r>
      <w:r>
        <w:rPr>
          <w:rFonts w:ascii="Courier New" w:hAnsi="Courier New" w:eastAsia="Times New Roman" w:cs="Times New Roman"/>
          <w:sz w:val="18"/>
          <w:szCs w:val="22"/>
        </w:rPr>
        <w:t>GPS_DESVIO_UMBRAL_METROS</w:t>
      </w:r>
      <w:r>
        <w:rPr>
          <w:rFonts w:ascii="Times New Roman" w:hAnsi="Times New Roman" w:eastAsia="Times New Roman" w:cs="Times New Roman"/>
          <w:sz w:val="24"/>
          <w:szCs w:val="22"/>
        </w:rPr>
        <w:t>.</w:t>
      </w:r>
    </w:p>
    <w:p w14:paraId="66457C52">
      <w:pPr>
        <w:spacing w:after="0" w:line="415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29638580">
      <w:pPr>
        <w:pStyle w:val="Heading1"/>
        <w:numPr>
          <w:ilvl w:val="0"/>
          <w:numId w:val="2"/>
        </w:numPr>
        <w:tabs>
          <w:tab w:val="left" w:pos="3770"/>
        </w:tabs>
        <w:spacing w:before="80" w:after="0" w:line="240" w:lineRule="auto"/>
        <w:ind w:left="3770" w:right="0" w:hanging="240"/>
        <w:jc w:val="left"/>
      </w:pPr>
      <w:bookmarkStart w:id="3" w:name="_bookmark2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Arranque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integrado</w:t>
      </w:r>
      <w:bookmarkEnd w:id="3"/>
    </w:p>
    <w:p w14:paraId="6C90E8B4">
      <w:pPr>
        <w:pStyle w:val="BodyText"/>
        <w:spacing w:before="140"/>
        <w:jc w:val="left"/>
        <w:rPr>
          <w:b/>
        </w:rPr>
      </w:pPr>
    </w:p>
    <w:p w14:paraId="02F8749D">
      <w:pPr>
        <w:spacing w:before="0" w:line="324" w:lineRule="auto"/>
        <w:ind w:left="288" w:right="4393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docker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compose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--env-file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.env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up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--build</w:t>
      </w:r>
      <w:r>
        <w:rPr>
          <w:rFonts w:ascii="Courier New" w:hAnsi="Times New Roman" w:eastAsia="Times New Roman" w:cs="Times New Roman"/>
          <w:spacing w:val="-7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-</w:t>
      </w:r>
      <w:r>
        <w:rPr>
          <w:rFonts w:ascii="Courier New" w:hAnsi="Times New Roman" w:eastAsia="Times New Roman" w:cs="Times New Roman"/>
          <w:sz w:val="17"/>
          <w:szCs w:val="22"/>
        </w:rPr>
        <w:t>d docker compose --env-file .env ps</w:t>
      </w:r>
    </w:p>
    <w:p w14:paraId="41FAA9FD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docker compose --env-file .env logs --tail=150 database liquibase backend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frontend</w:t>
      </w:r>
    </w:p>
    <w:p w14:paraId="709ABC11">
      <w:pPr>
        <w:pStyle w:val="BodyText"/>
        <w:spacing w:before="22"/>
        <w:jc w:val="left"/>
        <w:rPr>
          <w:rFonts w:ascii="Courier New"/>
          <w:sz w:val="17"/>
        </w:rPr>
      </w:pPr>
    </w:p>
    <w:p w14:paraId="2FC89AFE">
      <w:pPr>
        <w:spacing w:before="0" w:line="415" w:lineRule="auto"/>
        <w:ind w:left="0" w:right="25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Orden diseñado: </w:t>
      </w:r>
      <w:r>
        <w:rPr>
          <w:rFonts w:ascii="Courier New" w:hAnsi="Courier New" w:eastAsia="Times New Roman" w:cs="Times New Roman"/>
          <w:sz w:val="18"/>
          <w:szCs w:val="22"/>
        </w:rPr>
        <w:t>database</w:t>
      </w:r>
      <w:r>
        <w:rPr>
          <w:rFonts w:ascii="Courier New" w:hAnsi="Courier New" w:eastAsia="Times New Roman" w:cs="Times New Roman"/>
          <w:spacing w:val="-3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healthy → </w:t>
      </w:r>
      <w:r>
        <w:rPr>
          <w:rFonts w:ascii="Courier New" w:hAnsi="Courier New" w:eastAsia="Times New Roman" w:cs="Times New Roman"/>
          <w:sz w:val="18"/>
          <w:szCs w:val="22"/>
        </w:rPr>
        <w:t>liquibase update</w:t>
      </w:r>
      <w:r>
        <w:rPr>
          <w:rFonts w:ascii="Courier New" w:hAnsi="Courier New" w:eastAsia="Times New Roman" w:cs="Times New Roman"/>
          <w:spacing w:val="-3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con salida 0 → backend → frontend. Validar URLs: </w:t>
      </w:r>
      <w:hyperlink r:id="rId6">
        <w:r>
          <w:rPr>
            <w:rFonts w:ascii="Courier New" w:hAnsi="Courier New" w:eastAsia="Times New Roman" w:cs="Times New Roman"/>
            <w:sz w:val="18"/>
            <w:szCs w:val="22"/>
          </w:rPr>
          <w:t>http://localhost:8081</w:t>
        </w:r>
      </w:hyperlink>
      <w:r>
        <w:rPr>
          <w:rFonts w:ascii="Courier New" w:hAnsi="Courier New" w:eastAsia="Times New Roman" w:cs="Times New Roman"/>
          <w:spacing w:val="-1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(web), </w:t>
      </w:r>
      <w:hyperlink r:id="rId7">
        <w:r>
          <w:rPr>
            <w:rFonts w:ascii="Courier New" w:hAnsi="Courier New" w:eastAsia="Times New Roman" w:cs="Times New Roman"/>
            <w:sz w:val="18"/>
            <w:szCs w:val="22"/>
          </w:rPr>
          <w:t>http://localhost:8080/api/health</w:t>
        </w:r>
      </w:hyperlink>
      <w:r>
        <w:rPr>
          <w:rFonts w:ascii="Courier New" w:hAnsi="Courier New" w:eastAsia="Times New Roman" w:cs="Times New Roman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(health),</w:t>
      </w:r>
      <w:r>
        <w:rPr>
          <w:rFonts w:ascii="Times New Roman" w:hAnsi="Times New Roman" w:eastAsia="Times New Roman" w:cs="Times New Roman"/>
          <w:spacing w:val="-11"/>
          <w:sz w:val="24"/>
          <w:szCs w:val="22"/>
        </w:rPr>
        <w:t xml:space="preserve"> </w:t>
      </w:r>
      <w:hyperlink r:id="rId8">
        <w:r>
          <w:rPr>
            <w:rFonts w:ascii="Courier New" w:hAnsi="Courier New" w:eastAsia="Times New Roman" w:cs="Times New Roman"/>
            <w:sz w:val="18"/>
            <w:szCs w:val="22"/>
          </w:rPr>
          <w:t>http://localhost:8080/swagger-ui.html</w:t>
        </w:r>
      </w:hyperlink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(interfaz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Swagger,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configuración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permite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acceso).</w:t>
      </w:r>
    </w:p>
    <w:p w14:paraId="187BAC0D">
      <w:pPr>
        <w:pStyle w:val="BodyText"/>
        <w:spacing w:before="28"/>
        <w:jc w:val="left"/>
      </w:pPr>
    </w:p>
    <w:p w14:paraId="6A41C75F">
      <w:pPr>
        <w:pStyle w:val="Heading1"/>
        <w:numPr>
          <w:ilvl w:val="0"/>
          <w:numId w:val="2"/>
        </w:numPr>
        <w:tabs>
          <w:tab w:val="left" w:pos="2196"/>
        </w:tabs>
        <w:spacing w:before="0" w:after="0" w:line="240" w:lineRule="auto"/>
        <w:ind w:left="219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Preparación de BD y backend sin Compose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central</w:t>
      </w:r>
    </w:p>
    <w:p w14:paraId="58A4897D">
      <w:pPr>
        <w:pStyle w:val="BodyText"/>
        <w:spacing w:before="128"/>
        <w:jc w:val="left"/>
        <w:rPr>
          <w:b/>
        </w:rPr>
      </w:pPr>
    </w:p>
    <w:p w14:paraId="1E1AA8FC">
      <w:pPr>
        <w:pStyle w:val="BodyText"/>
        <w:spacing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Después</w:t>
      </w:r>
      <w:r>
        <w:rPr>
          <w:rFonts w:ascii="Times New Roman" w:hAnsi="Times New Roman" w:eastAsia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crear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PostgreSQL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ejecutar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Liquibase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docker-compose.yaml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 el procedimiento equivalente, establecer las variables del backend:</w:t>
      </w:r>
    </w:p>
    <w:p w14:paraId="0697141D">
      <w:pPr>
        <w:spacing w:before="56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cd ..\Backend-Guardian-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Escolar</w:t>
      </w:r>
    </w:p>
    <w:p w14:paraId="6707F81C">
      <w:pPr>
        <w:spacing w:before="67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pacing w:val="-2"/>
          <w:sz w:val="17"/>
          <w:szCs w:val="22"/>
        </w:rPr>
        <w:t>$env:DB_URL='jdbc:postgresql://localhost:5432/gps_guardian_escolar'</w:t>
      </w:r>
    </w:p>
    <w:p w14:paraId="2DC3E391">
      <w:pPr>
        <w:spacing w:before="68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pacing w:val="-2"/>
          <w:sz w:val="17"/>
          <w:szCs w:val="22"/>
        </w:rPr>
        <w:t>$env:DB_USERNAME='postgres'</w:t>
      </w:r>
    </w:p>
    <w:p w14:paraId="14778958">
      <w:pPr>
        <w:spacing w:before="67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$env:DB_PASSWORD='[valor seguro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local]'</w:t>
      </w:r>
    </w:p>
    <w:p w14:paraId="2FC0D6A6">
      <w:pPr>
        <w:spacing w:before="68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$env:JWT_SECRET='[valor robusto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local]'</w:t>
      </w:r>
    </w:p>
    <w:p w14:paraId="4D7A3CBF">
      <w:pPr>
        <w:spacing w:before="67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.\mvnw.cmd </w:t>
      </w:r>
      <w:r>
        <w:rPr>
          <w:rFonts w:ascii="Courier New" w:hAnsi="Times New Roman" w:eastAsia="Times New Roman" w:cs="Times New Roman"/>
          <w:spacing w:val="-4"/>
          <w:sz w:val="17"/>
          <w:szCs w:val="22"/>
        </w:rPr>
        <w:t>test</w:t>
      </w:r>
    </w:p>
    <w:p w14:paraId="696C267D">
      <w:pPr>
        <w:spacing w:before="67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.\mvnw.cmd spring-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boot:run</w:t>
      </w:r>
    </w:p>
    <w:p w14:paraId="3C0D68E3">
      <w:pPr>
        <w:pStyle w:val="BodyText"/>
        <w:spacing w:before="22"/>
        <w:jc w:val="left"/>
        <w:rPr>
          <w:rFonts w:ascii="Courier New"/>
          <w:sz w:val="17"/>
        </w:rPr>
      </w:pPr>
    </w:p>
    <w:p w14:paraId="0B598A27">
      <w:pPr>
        <w:spacing w:before="1" w:line="417" w:lineRule="auto"/>
        <w:ind w:left="0" w:right="41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Los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valores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entre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corchetes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son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marcadores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nunca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contraseñas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incluidas.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Antes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 arrancar, liquibase debe haber creado las tablas, pues JPA aplica </w:t>
      </w:r>
      <w:r>
        <w:rPr>
          <w:rFonts w:ascii="Courier New" w:hAnsi="Courier New" w:eastAsia="Times New Roman" w:cs="Times New Roman"/>
          <w:sz w:val="18"/>
          <w:szCs w:val="22"/>
        </w:rPr>
        <w:t>ddl-auto: validate</w:t>
      </w:r>
      <w:r>
        <w:rPr>
          <w:rFonts w:ascii="Times New Roman" w:hAnsi="Times New Roman" w:eastAsia="Times New Roman" w:cs="Times New Roman"/>
          <w:sz w:val="24"/>
          <w:szCs w:val="22"/>
        </w:rPr>
        <w:t>.</w:t>
      </w:r>
    </w:p>
    <w:p w14:paraId="3D43D0AF">
      <w:pPr>
        <w:pStyle w:val="BodyText"/>
        <w:spacing w:before="21"/>
        <w:jc w:val="left"/>
      </w:pPr>
    </w:p>
    <w:p w14:paraId="1DC1F864">
      <w:pPr>
        <w:pStyle w:val="Heading1"/>
        <w:numPr>
          <w:ilvl w:val="0"/>
          <w:numId w:val="2"/>
        </w:numPr>
        <w:tabs>
          <w:tab w:val="left" w:pos="3490"/>
        </w:tabs>
        <w:spacing w:before="0" w:after="0" w:line="240" w:lineRule="auto"/>
        <w:ind w:left="349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Expo/web y cliente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nativo</w:t>
      </w:r>
    </w:p>
    <w:p w14:paraId="48817A23">
      <w:pPr>
        <w:pStyle w:val="BodyText"/>
        <w:spacing w:before="141"/>
        <w:jc w:val="left"/>
        <w:rPr>
          <w:b/>
        </w:rPr>
      </w:pPr>
    </w:p>
    <w:p w14:paraId="587A38B7">
      <w:pPr>
        <w:spacing w:before="0" w:line="324" w:lineRule="auto"/>
        <w:ind w:left="288" w:right="6369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>cd</w:t>
      </w:r>
      <w:r>
        <w:rPr>
          <w:rFonts w:ascii="Courier New" w:hAnsi="Times New Roman" w:eastAsia="Times New Roman" w:cs="Times New Roman"/>
          <w:spacing w:val="-26"/>
          <w:sz w:val="17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7"/>
          <w:szCs w:val="22"/>
        </w:rPr>
        <w:t>..\Fronted-</w:t>
      </w:r>
      <w:r>
        <w:rPr>
          <w:rFonts w:ascii="Courier New" w:hAnsi="Times New Roman" w:eastAsia="Times New Roman" w:cs="Times New Roman"/>
          <w:sz w:val="17"/>
          <w:szCs w:val="22"/>
        </w:rPr>
        <w:t>GuardianEscolar-Copy-Item .env.example .env npm ci</w:t>
      </w:r>
    </w:p>
    <w:p w14:paraId="3DAD3F22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npm run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start:lan</w:t>
      </w:r>
    </w:p>
    <w:p w14:paraId="09796DAE">
      <w:pPr>
        <w:pStyle w:val="BodyText"/>
        <w:spacing w:before="22"/>
        <w:jc w:val="left"/>
        <w:rPr>
          <w:rFonts w:ascii="Courier New"/>
          <w:sz w:val="17"/>
        </w:rPr>
      </w:pPr>
    </w:p>
    <w:p w14:paraId="3C8E65DB">
      <w:pPr>
        <w:spacing w:before="0" w:line="415" w:lineRule="auto"/>
        <w:ind w:left="0" w:right="417" w:firstLine="720"/>
        <w:jc w:val="left"/>
        <w:rPr>
          <w:b/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El script </w:t>
      </w:r>
      <w:r>
        <w:rPr>
          <w:rFonts w:ascii="Courier New" w:hAnsi="Courier New" w:eastAsia="Times New Roman" w:cs="Times New Roman"/>
          <w:sz w:val="18"/>
          <w:szCs w:val="22"/>
        </w:rPr>
        <w:t>start:lan</w:t>
      </w:r>
      <w:r>
        <w:rPr>
          <w:rFonts w:ascii="Courier New" w:hAnsi="Courier New" w:eastAsia="Times New Roman" w:cs="Times New Roman"/>
          <w:spacing w:val="-35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utiliza Metro 8082 según configuración del proyecto. En teléfono físico no usar </w:t>
      </w:r>
      <w:r>
        <w:rPr>
          <w:rFonts w:ascii="Courier New" w:hAnsi="Courier New" w:eastAsia="Times New Roman" w:cs="Times New Roman"/>
          <w:sz w:val="18"/>
          <w:szCs w:val="22"/>
        </w:rPr>
        <w:t>localhost</w:t>
      </w:r>
      <w:r>
        <w:rPr>
          <w:rFonts w:ascii="Courier New" w:hAnsi="Courier New" w:eastAsia="Times New Roman" w:cs="Times New Roman"/>
          <w:spacing w:val="-3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para llegar al backend del PC; indicar </w:t>
      </w:r>
      <w:r>
        <w:rPr>
          <w:rFonts w:ascii="Courier New" w:hAnsi="Courier New" w:eastAsia="Times New Roman" w:cs="Times New Roman"/>
          <w:sz w:val="18"/>
          <w:szCs w:val="22"/>
        </w:rPr>
        <w:t>http://IP_LAN_PC:8080/api</w:t>
      </w:r>
      <w:r>
        <w:rPr>
          <w:rFonts w:ascii="Courier New" w:hAnsi="Courier New" w:eastAsia="Times New Roman" w:cs="Times New Roman"/>
          <w:spacing w:val="-3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en </w:t>
      </w:r>
      <w:r>
        <w:rPr>
          <w:rFonts w:ascii="Courier New" w:hAnsi="Courier New" w:eastAsia="Times New Roman" w:cs="Times New Roman"/>
          <w:sz w:val="18"/>
          <w:szCs w:val="22"/>
        </w:rPr>
        <w:t>EXPO_PUBLIC_API_URL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URL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WebSocket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correspondiente,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firewall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accesibles. Para un build nativo consultar </w:t>
      </w:r>
      <w:r>
        <w:rPr>
          <w:rFonts w:ascii="Courier New" w:hAnsi="Courier New" w:eastAsia="Times New Roman" w:cs="Times New Roman"/>
          <w:sz w:val="18"/>
          <w:szCs w:val="22"/>
        </w:rPr>
        <w:t>app.json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app.config.js</w:t>
      </w:r>
      <w:r>
        <w:rPr>
          <w:rFonts w:ascii="Courier New" w:hAnsi="Courier New" w:eastAsia="Times New Roman" w:cs="Times New Roman"/>
          <w:spacing w:val="-3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y </w:t>
      </w:r>
      <w:r>
        <w:rPr>
          <w:rFonts w:ascii="Courier New" w:hAnsi="Courier New" w:eastAsia="Times New Roman" w:cs="Times New Roman"/>
          <w:sz w:val="18"/>
          <w:szCs w:val="22"/>
        </w:rPr>
        <w:t>eas.json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: el perfil de salida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no</w:t>
      </w:r>
    </w:p>
    <w:p w14:paraId="04865777">
      <w:pPr>
        <w:spacing w:after="0" w:line="415" w:lineRule="auto"/>
        <w:jc w:val="left"/>
        <w:rPr>
          <w:b/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62169780">
      <w:pPr>
        <w:spacing w:before="80" w:line="415" w:lineRule="auto"/>
        <w:ind w:left="0" w:right="0"/>
        <w:jc w:val="left"/>
        <w:rPr>
          <w:sz w:val="24"/>
        </w:rPr>
      </w:pPr>
      <w:bookmarkStart w:id="4" w:name="_bookmark3"/>
      <w:r/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demuestra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APK</w:t>
      </w:r>
      <w:r>
        <w:rPr>
          <w:rFonts w:ascii="Times New Roman" w:hAnsi="Times New Roman" w:eastAsia="Times New Roman" w:cs="Times New Roman"/>
          <w:sz w:val="24"/>
          <w:szCs w:val="22"/>
        </w:rPr>
        <w:t>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debe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fijarse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explícitamente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android.buildType:</w:t>
      </w:r>
      <w:r>
        <w:rPr>
          <w:rFonts w:ascii="Courier New" w:hAnsi="Courier New" w:eastAsia="Times New Roman" w:cs="Times New Roman"/>
          <w:spacing w:val="-6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apk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perfil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aplicable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 ejecutar EAS con firma adecuada.</w:t>
      </w:r>
      <w:bookmarkEnd w:id="4"/>
    </w:p>
    <w:p w14:paraId="29707CC6">
      <w:pPr>
        <w:pStyle w:val="BodyText"/>
        <w:spacing w:before="26"/>
        <w:jc w:val="left"/>
      </w:pPr>
    </w:p>
    <w:p w14:paraId="066A5757">
      <w:pPr>
        <w:pStyle w:val="Heading1"/>
        <w:numPr>
          <w:ilvl w:val="0"/>
          <w:numId w:val="2"/>
        </w:numPr>
        <w:tabs>
          <w:tab w:val="left" w:pos="2913"/>
        </w:tabs>
        <w:spacing w:before="1" w:after="0" w:line="240" w:lineRule="auto"/>
        <w:ind w:left="291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Verificación de despliegue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rollback</w:t>
      </w:r>
    </w:p>
    <w:p w14:paraId="0896BD6A">
      <w:pPr>
        <w:pStyle w:val="BodyText"/>
        <w:spacing w:before="127"/>
        <w:jc w:val="left"/>
        <w:rPr>
          <w:b/>
        </w:rPr>
      </w:pPr>
    </w:p>
    <w:p w14:paraId="55FFA686">
      <w:pPr>
        <w:pStyle w:val="ListParagraph"/>
        <w:numPr>
          <w:ilvl w:val="0"/>
          <w:numId w:val="3"/>
        </w:numPr>
        <w:tabs>
          <w:tab w:val="left" w:pos="600"/>
        </w:tabs>
        <w:spacing w:before="1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Registrar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fecha, responsable, versión, artefactos y variables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sin valores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secretos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1012B2B7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204" w:after="0" w:line="415" w:lineRule="auto"/>
        <w:ind w:left="648" w:right="861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Conservar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docker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compose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config</w:t>
      </w:r>
      <w:r>
        <w:rPr>
          <w:rFonts w:ascii="Courier New" w:hAnsi="Times New Roman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redactado,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docker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compose</w:t>
      </w:r>
      <w:r>
        <w:rPr>
          <w:rFonts w:ascii="Courier New" w:hAnsi="Times New Roman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ps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logs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Liquibase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y backend y </w:t>
      </w:r>
      <w:r>
        <w:rPr>
          <w:rFonts w:ascii="Courier New" w:hAnsi="Times New Roman" w:eastAsia="Times New Roman" w:cs="Times New Roman"/>
          <w:sz w:val="18"/>
          <w:szCs w:val="22"/>
        </w:rPr>
        <w:t>GET /api/health</w:t>
      </w:r>
      <w:r>
        <w:rPr>
          <w:rFonts w:ascii="Times New Roman" w:hAnsi="Times New Roman" w:eastAsia="Times New Roman" w:cs="Times New Roman"/>
          <w:sz w:val="24"/>
          <w:szCs w:val="22"/>
        </w:rPr>
        <w:t>.</w:t>
      </w:r>
    </w:p>
    <w:p w14:paraId="17702C76">
      <w:pPr>
        <w:pStyle w:val="ListParagraph"/>
        <w:numPr>
          <w:ilvl w:val="0"/>
          <w:numId w:val="3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Probar CRUD y contratos esenciales solo con datos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sintéticos.</w:t>
      </w:r>
    </w:p>
    <w:p w14:paraId="2E778251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204" w:after="0" w:line="417" w:lineRule="auto"/>
        <w:ind w:left="648" w:right="840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Verificar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401/403,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JWT,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WebSocket,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QR,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rutas,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GPS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notificaciones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tras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corregir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los riesgos documentados.</w:t>
      </w:r>
    </w:p>
    <w:p w14:paraId="5074CACE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0" w:after="0" w:line="415" w:lineRule="auto"/>
        <w:ind w:left="648" w:right="442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detener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borrar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BD: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docker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compose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--env-file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.env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down</w:t>
      </w:r>
      <w:r>
        <w:rPr>
          <w:rFonts w:ascii="Times New Roman" w:hAnsi="Times New Roman" w:eastAsia="Times New Roman" w:cs="Times New Roman"/>
          <w:sz w:val="24"/>
          <w:szCs w:val="22"/>
        </w:rPr>
        <w:t>.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usar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down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-v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 volumen contiene información que debe conservarse.</w:t>
      </w:r>
    </w:p>
    <w:p w14:paraId="59A96C5B">
      <w:pPr>
        <w:pStyle w:val="ListParagraph"/>
        <w:numPr>
          <w:ilvl w:val="0"/>
          <w:numId w:val="3"/>
        </w:numPr>
        <w:tabs>
          <w:tab w:val="left" w:pos="600"/>
          <w:tab w:val="left" w:pos="648"/>
        </w:tabs>
        <w:spacing w:before="3" w:after="0" w:line="417" w:lineRule="auto"/>
        <w:ind w:left="648" w:right="359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Antes de cambio de esquema: respaldo, ensayo de reversión y verificación de compatibilidad.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Liquibase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rollback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definido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script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equivale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plan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completo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recuperación, debe ensayarse en copia de datos.</w:t>
      </w:r>
    </w:p>
    <w:p w14:paraId="70BA1331">
      <w:pPr>
        <w:pStyle w:val="BodyText"/>
        <w:spacing w:before="23"/>
        <w:jc w:val="left"/>
      </w:pPr>
    </w:p>
    <w:p w14:paraId="295D8F27">
      <w:pPr>
        <w:pStyle w:val="Heading1"/>
        <w:numPr>
          <w:ilvl w:val="0"/>
          <w:numId w:val="2"/>
        </w:numPr>
        <w:tabs>
          <w:tab w:val="left" w:pos="3100"/>
        </w:tabs>
        <w:spacing w:before="0" w:after="0" w:line="240" w:lineRule="auto"/>
        <w:ind w:left="310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Lista de aceptación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despliegue</w:t>
      </w:r>
    </w:p>
    <w:p w14:paraId="4EEA5524">
      <w:pPr>
        <w:pStyle w:val="BodyText"/>
        <w:jc w:val="left"/>
        <w:rPr>
          <w:b/>
          <w:sz w:val="20"/>
        </w:rPr>
      </w:pPr>
    </w:p>
    <w:p w14:paraId="31DD2B66">
      <w:pPr>
        <w:pStyle w:val="BodyText"/>
        <w:spacing w:before="48" w:after="1"/>
        <w:jc w:val="left"/>
        <w:rPr>
          <w:b/>
          <w:sz w:val="20"/>
        </w:rPr>
      </w:pPr>
    </w:p>
    <w:tbl>
      <w:tblPr>
        <w:tblW w:w="0" w:type="auto"/>
        <w:jc w:val="left"/>
        <w:tblInd w:w="7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3055"/>
        <w:gridCol w:w="3167"/>
        <w:gridCol w:w="3138"/>
      </w:tblGrid>
      <w:tr>
        <w:trPr>
          <w:trHeight w:val="422" w:hRule="atLeast"/>
        </w:trPr>
        <w:tc>
          <w:tcPr>
            <w:tcW w:w="3055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339AB">
            <w:pPr>
              <w:pStyle w:val="TableParagraph"/>
              <w:spacing w:before="106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Control</w:t>
            </w:r>
          </w:p>
        </w:tc>
        <w:tc>
          <w:tcPr>
            <w:tcW w:w="3167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DE891">
            <w:pPr>
              <w:pStyle w:val="TableParagraph"/>
              <w:spacing w:before="106"/>
              <w:ind w:left="165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Evidencia</w:t>
            </w:r>
          </w:p>
        </w:tc>
        <w:tc>
          <w:tcPr>
            <w:tcW w:w="3138" w:type="dxa"/>
            <w:tcBorders>
              <w:top w:val="single" w:sz="8" w:space="0" w:color="000000"/>
              <w:left w:val="none"/>
              <w:bottom w:val="single" w:sz="6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F24E2">
            <w:pPr>
              <w:pStyle w:val="TableParagraph"/>
              <w:spacing w:before="106"/>
              <w:ind w:left="117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Estado</w:t>
            </w:r>
          </w:p>
        </w:tc>
      </w:tr>
      <w:tr>
        <w:trPr>
          <w:trHeight w:val="434" w:hRule="atLeast"/>
        </w:trPr>
        <w:tc>
          <w:tcPr>
            <w:tcW w:w="3055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B61DE">
            <w:pPr>
              <w:pStyle w:val="TableParagraph"/>
              <w:spacing w:before="10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Config/secretos/volúmenes</w:t>
            </w:r>
            <w:r>
              <w:rPr>
                <w:rFonts w:ascii="Times New Roman" w:hAnsi="Times New Roman" w:eastAsia="Times New Roman" w:cs="Times New Roman"/>
                <w:spacing w:val="4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revisados</w:t>
            </w:r>
          </w:p>
        </w:tc>
        <w:tc>
          <w:tcPr>
            <w:tcW w:w="3167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94A50">
            <w:pPr>
              <w:pStyle w:val="TableParagraph"/>
              <w:spacing w:before="108"/>
              <w:ind w:left="16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Config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sin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secretos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+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checklist</w:t>
            </w:r>
          </w:p>
        </w:tc>
        <w:tc>
          <w:tcPr>
            <w:tcW w:w="3138" w:type="dxa"/>
            <w:tcBorders>
              <w:top w:val="single" w:sz="6" w:space="0" w:color="000000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798237">
            <w:pPr>
              <w:pStyle w:val="TableParagraph"/>
              <w:spacing w:before="108"/>
              <w:ind w:left="11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Pendiente</w:t>
            </w:r>
          </w:p>
        </w:tc>
      </w:tr>
      <w:tr>
        <w:trPr>
          <w:trHeight w:val="680" w:hRule="atLeast"/>
        </w:trPr>
        <w:tc>
          <w:tcPr>
            <w:tcW w:w="3055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3DDDF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Migraciones</w:t>
            </w:r>
            <w:r>
              <w:rPr>
                <w:rFonts w:ascii="Times New Roman" w:hAnsi="Times New Roman" w:eastAsia="Times New Roman" w:cs="Times New Roman"/>
                <w:spacing w:val="1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aplicadas</w:t>
            </w:r>
          </w:p>
        </w:tc>
        <w:tc>
          <w:tcPr>
            <w:tcW w:w="316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FFBED">
            <w:pPr>
              <w:pStyle w:val="TableParagraph"/>
              <w:spacing w:line="259" w:lineRule="auto"/>
              <w:ind w:left="16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Logs,</w:t>
            </w: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tabla</w:t>
            </w:r>
            <w:r>
              <w:rPr>
                <w:rFonts w:ascii="Times New Roman" w:hAnsi="Times New Roman" w:eastAsia="Times New Roman" w:cs="Times New Roman"/>
                <w:spacing w:val="-10"/>
                <w:sz w:val="18"/>
                <w:szCs w:val="22"/>
              </w:rPr>
              <w:t xml:space="preserve"> </w:t>
            </w:r>
            <w:r>
              <w:rPr>
                <w:rFonts w:ascii="Courier New" w:hAnsi="Times New Roman" w:eastAsia="Times New Roman" w:cs="Times New Roman"/>
                <w:sz w:val="18"/>
                <w:szCs w:val="22"/>
              </w:rPr>
              <w:t>databasechangelog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, conteo DDL</w:t>
            </w:r>
          </w:p>
        </w:tc>
        <w:tc>
          <w:tcPr>
            <w:tcW w:w="313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DF875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Pendiente</w:t>
            </w:r>
          </w:p>
        </w:tc>
      </w:tr>
      <w:tr>
        <w:trPr>
          <w:trHeight w:val="447" w:hRule="atLeast"/>
        </w:trPr>
        <w:tc>
          <w:tcPr>
            <w:tcW w:w="3055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20D67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Servicios</w:t>
            </w:r>
            <w:r>
              <w:rPr>
                <w:rFonts w:ascii="Times New Roman" w:hAnsi="Times New Roman" w:eastAsia="Times New Roman" w:cs="Times New Roman"/>
                <w:spacing w:val="14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saludables</w:t>
            </w:r>
          </w:p>
        </w:tc>
        <w:tc>
          <w:tcPr>
            <w:tcW w:w="316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EFDE1F">
            <w:pPr>
              <w:pStyle w:val="TableParagraph"/>
              <w:ind w:left="165"/>
              <w:jc w:val="left"/>
              <w:rPr>
                <w:sz w:val="18"/>
              </w:rPr>
            </w:pPr>
            <w:r>
              <w:rPr>
                <w:rFonts w:ascii="Courier New" w:hAnsi="Times New Roman" w:eastAsia="Times New Roman" w:cs="Times New Roman"/>
                <w:sz w:val="18"/>
                <w:szCs w:val="22"/>
              </w:rPr>
              <w:t>docker</w:t>
            </w:r>
            <w:r>
              <w:rPr>
                <w:rFonts w:ascii="Courier New" w:hAnsi="Times New Roman" w:eastAsia="Times New Roman" w:cs="Times New Roman"/>
                <w:spacing w:val="3"/>
                <w:sz w:val="18"/>
                <w:szCs w:val="22"/>
              </w:rPr>
              <w:t xml:space="preserve"> </w:t>
            </w:r>
            <w:r>
              <w:rPr>
                <w:rFonts w:ascii="Courier New" w:hAnsi="Times New Roman" w:eastAsia="Times New Roman" w:cs="Times New Roman"/>
                <w:sz w:val="18"/>
                <w:szCs w:val="22"/>
              </w:rPr>
              <w:t>compose</w:t>
            </w:r>
            <w:r>
              <w:rPr>
                <w:rFonts w:ascii="Courier New" w:hAnsi="Times New Roman" w:eastAsia="Times New Roman" w:cs="Times New Roman"/>
                <w:spacing w:val="3"/>
                <w:sz w:val="18"/>
                <w:szCs w:val="22"/>
              </w:rPr>
              <w:t xml:space="preserve"> </w:t>
            </w:r>
            <w:r>
              <w:rPr>
                <w:rFonts w:ascii="Courier New" w:hAnsi="Times New Roman" w:eastAsia="Times New Roman" w:cs="Times New Roman"/>
                <w:sz w:val="18"/>
                <w:szCs w:val="22"/>
              </w:rPr>
              <w:t>ps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,</w:t>
            </w:r>
            <w:r>
              <w:rPr>
                <w:rFonts w:ascii="Times New Roman" w:hAnsi="Times New Roman" w:eastAsia="Times New Roman" w:cs="Times New Roman"/>
                <w:spacing w:val="3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health</w:t>
            </w:r>
            <w:r>
              <w:rPr>
                <w:rFonts w:ascii="Times New Roman" w:hAnsi="Times New Roman" w:eastAsia="Times New Roman" w:cs="Times New Roman"/>
                <w:spacing w:val="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18"/>
                <w:szCs w:val="22"/>
              </w:rPr>
              <w:t>HTTP</w:t>
            </w:r>
          </w:p>
        </w:tc>
        <w:tc>
          <w:tcPr>
            <w:tcW w:w="313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7F21D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Pendiente</w:t>
            </w:r>
          </w:p>
        </w:tc>
      </w:tr>
      <w:tr>
        <w:trPr>
          <w:trHeight w:val="432" w:hRule="atLeast"/>
        </w:trPr>
        <w:tc>
          <w:tcPr>
            <w:tcW w:w="3055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51EE94">
            <w:pPr>
              <w:pStyle w:val="TableParagraph"/>
              <w:spacing w:before="10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Accesos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indebidos</w:t>
            </w:r>
            <w:r>
              <w:rPr>
                <w:rFonts w:ascii="Times New Roman" w:hAnsi="Times New Roman" w:eastAsia="Times New Roman" w:cs="Times New Roman"/>
                <w:spacing w:val="14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bloqueados</w:t>
            </w:r>
          </w:p>
        </w:tc>
        <w:tc>
          <w:tcPr>
            <w:tcW w:w="316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B4FD3F">
            <w:pPr>
              <w:pStyle w:val="TableParagraph"/>
              <w:spacing w:before="107"/>
              <w:ind w:left="16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REST</w:t>
            </w:r>
            <w:r>
              <w:rPr>
                <w:rFonts w:ascii="Times New Roman" w:hAnsi="Times New Roman" w:eastAsia="Times New Roman" w:cs="Times New Roman"/>
                <w:spacing w:val="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STOMP</w:t>
            </w:r>
            <w:r>
              <w:rPr>
                <w:rFonts w:ascii="Times New Roman" w:hAnsi="Times New Roman" w:eastAsia="Times New Roman" w:cs="Times New Roman"/>
                <w:spacing w:val="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prueba</w:t>
            </w:r>
            <w:r>
              <w:rPr>
                <w:rFonts w:ascii="Times New Roman" w:hAnsi="Times New Roman" w:eastAsia="Times New Roman" w:cs="Times New Roman"/>
                <w:spacing w:val="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negativa</w:t>
            </w:r>
          </w:p>
        </w:tc>
        <w:tc>
          <w:tcPr>
            <w:tcW w:w="313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E56D1">
            <w:pPr>
              <w:pStyle w:val="TableParagraph"/>
              <w:spacing w:before="107"/>
              <w:ind w:left="11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Pendiente</w:t>
            </w:r>
          </w:p>
        </w:tc>
      </w:tr>
      <w:tr>
        <w:trPr>
          <w:trHeight w:val="440" w:hRule="atLeast"/>
        </w:trPr>
        <w:tc>
          <w:tcPr>
            <w:tcW w:w="3055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C88876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Flujo</w:t>
            </w:r>
            <w:r>
              <w:rPr>
                <w:rFonts w:ascii="Times New Roman" w:hAnsi="Times New Roman" w:eastAsia="Times New Roman" w:cs="Times New Roman"/>
                <w:spacing w:val="2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estudiante/dispositivo</w:t>
            </w:r>
            <w:r>
              <w:rPr>
                <w:rFonts w:ascii="Times New Roman" w:hAnsi="Times New Roman" w:eastAsia="Times New Roman" w:cs="Times New Roman"/>
                <w:spacing w:val="2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corregido</w:t>
            </w:r>
          </w:p>
        </w:tc>
        <w:tc>
          <w:tcPr>
            <w:tcW w:w="316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E2B1AE">
            <w:pPr>
              <w:pStyle w:val="TableParagraph"/>
              <w:ind w:left="16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TP-13</w:t>
            </w:r>
            <w:r>
              <w:rPr>
                <w:rFonts w:ascii="Times New Roman" w:hAnsi="Times New Roman" w:eastAsia="Times New Roman" w:cs="Times New Roman"/>
                <w:spacing w:val="7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</w:t>
            </w:r>
            <w:r>
              <w:rPr>
                <w:rFonts w:ascii="Times New Roman" w:hAnsi="Times New Roman" w:eastAsia="Times New Roman" w:cs="Times New Roman"/>
                <w:spacing w:val="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TP-</w:t>
            </w:r>
            <w:r>
              <w:rPr>
                <w:rFonts w:ascii="Times New Roman" w:hAnsi="Times New Roman" w:eastAsia="Times New Roman" w:cs="Times New Roman"/>
                <w:spacing w:val="-5"/>
                <w:sz w:val="18"/>
                <w:szCs w:val="22"/>
              </w:rPr>
              <w:t>20</w:t>
            </w:r>
          </w:p>
        </w:tc>
        <w:tc>
          <w:tcPr>
            <w:tcW w:w="313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7643A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Pendiente</w:t>
            </w:r>
          </w:p>
        </w:tc>
      </w:tr>
      <w:tr>
        <w:trPr>
          <w:trHeight w:val="440" w:hRule="atLeast"/>
        </w:trPr>
        <w:tc>
          <w:tcPr>
            <w:tcW w:w="3055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F02B1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Respaldo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restauración</w:t>
            </w:r>
            <w:r>
              <w:rPr>
                <w:rFonts w:ascii="Times New Roman" w:hAnsi="Times New Roman" w:eastAsia="Times New Roman" w:cs="Times New Roman"/>
                <w:spacing w:val="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ensayados</w:t>
            </w:r>
          </w:p>
        </w:tc>
        <w:tc>
          <w:tcPr>
            <w:tcW w:w="3167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3062B0">
            <w:pPr>
              <w:pStyle w:val="TableParagraph"/>
              <w:ind w:left="16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Acta</w:t>
            </w:r>
            <w:r>
              <w:rPr>
                <w:rFonts w:ascii="Times New Roman" w:hAnsi="Times New Roman" w:eastAsia="Times New Roman" w:cs="Times New Roman"/>
                <w:spacing w:val="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checksums</w:t>
            </w:r>
          </w:p>
        </w:tc>
        <w:tc>
          <w:tcPr>
            <w:tcW w:w="313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88D16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Pendiente</w:t>
            </w:r>
          </w:p>
        </w:tc>
      </w:tr>
      <w:tr>
        <w:trPr>
          <w:trHeight w:val="428" w:hRule="atLeast"/>
        </w:trPr>
        <w:tc>
          <w:tcPr>
            <w:tcW w:w="3055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AFD9E">
            <w:pPr>
              <w:pStyle w:val="TableParagraph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Aprobación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equipo</w:t>
            </w:r>
          </w:p>
        </w:tc>
        <w:tc>
          <w:tcPr>
            <w:tcW w:w="3167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ECBD2">
            <w:pPr>
              <w:pStyle w:val="TableParagraph"/>
              <w:ind w:left="165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Firma/registro</w:t>
            </w:r>
            <w:r>
              <w:rPr>
                <w:rFonts w:ascii="Times New Roman" w:hAnsi="Times New Roman" w:eastAsia="Times New Roman" w:cs="Times New Roman"/>
                <w:spacing w:val="21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responsable</w:t>
            </w:r>
          </w:p>
        </w:tc>
        <w:tc>
          <w:tcPr>
            <w:tcW w:w="3138" w:type="dxa"/>
            <w:tcBorders>
              <w:top w:val="none"/>
              <w:left w:val="none"/>
              <w:bottom w:val="single" w:sz="8" w:space="0" w:color="000000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5B67D">
            <w:pPr>
              <w:pStyle w:val="TableParagraph"/>
              <w:ind w:left="117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Pendiente</w:t>
            </w:r>
          </w:p>
        </w:tc>
      </w:tr>
    </w:tbl>
    <w:p w14:paraId="0661DA84">
      <w:pPr>
        <w:pStyle w:val="TableParagraph"/>
        <w:spacing w:after="0"/>
        <w:jc w:val="left"/>
        <w:rPr>
          <w:sz w:val="18"/>
        </w:rPr>
        <w:sectPr>
          <w:pgSz w:w="12240" w:h="15840"/>
          <w:pgMar w:top="1360" w:right="1080" w:bottom="280" w:left="1440" w:header="338" w:footer="0"/>
        </w:sectPr>
      </w:pPr>
    </w:p>
    <w:p w14:paraId="1B228297">
      <w:pPr>
        <w:pStyle w:val="Heading1"/>
        <w:numPr>
          <w:ilvl w:val="0"/>
          <w:numId w:val="2"/>
        </w:numPr>
        <w:tabs>
          <w:tab w:val="left" w:pos="2706"/>
        </w:tabs>
        <w:spacing w:before="80" w:after="0" w:line="240" w:lineRule="auto"/>
        <w:ind w:left="2706" w:right="0" w:hanging="360"/>
        <w:jc w:val="left"/>
      </w:pPr>
      <w:bookmarkStart w:id="5" w:name="_bookmark4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Incidencias conocidas antes del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despliegue</w:t>
      </w:r>
      <w:bookmarkEnd w:id="5"/>
    </w:p>
    <w:p w14:paraId="53E22F7C">
      <w:pPr>
        <w:pStyle w:val="BodyText"/>
        <w:spacing w:before="127"/>
        <w:jc w:val="left"/>
        <w:rPr>
          <w:b/>
        </w:rPr>
      </w:pPr>
    </w:p>
    <w:p w14:paraId="74D7C85F">
      <w:pPr>
        <w:spacing w:before="1"/>
        <w:ind w:left="720" w:right="0"/>
        <w:jc w:val="left"/>
        <w:rPr>
          <w:sz w:val="24"/>
        </w:rPr>
      </w:pPr>
      <w:r>
        <w:rPr>
          <w:rFonts w:ascii="Courier New" w:hAnsi="Times New Roman" w:eastAsia="Times New Roman" w:cs="Times New Roman"/>
          <w:sz w:val="18"/>
          <w:szCs w:val="22"/>
        </w:rPr>
        <w:t>INT-01</w:t>
      </w:r>
      <w:r>
        <w:rPr>
          <w:rFonts w:ascii="Courier New" w:hAnsi="Times New Roman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a </w:t>
      </w:r>
      <w:r>
        <w:rPr>
          <w:rFonts w:ascii="Courier New" w:hAnsi="Times New Roman" w:eastAsia="Times New Roman" w:cs="Times New Roman"/>
          <w:sz w:val="18"/>
          <w:szCs w:val="22"/>
        </w:rPr>
        <w:t>INT-03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SEC-01</w:t>
      </w:r>
      <w:r>
        <w:rPr>
          <w:rFonts w:ascii="Times New Roman" w:hAnsi="Times New Roman" w:eastAsia="Times New Roman" w:cs="Times New Roman"/>
          <w:sz w:val="24"/>
          <w:szCs w:val="22"/>
        </w:rPr>
        <w:t>/</w:t>
      </w:r>
      <w:r>
        <w:rPr>
          <w:rFonts w:ascii="Courier New" w:hAnsi="Times New Roman" w:eastAsia="Times New Roman" w:cs="Times New Roman"/>
          <w:sz w:val="18"/>
          <w:szCs w:val="22"/>
        </w:rPr>
        <w:t>SEC-02</w:t>
      </w:r>
      <w:r>
        <w:rPr>
          <w:rFonts w:ascii="Times New Roman" w:hAnsi="Times New Roman" w:eastAsia="Times New Roman" w:cs="Times New Roman"/>
          <w:sz w:val="24"/>
          <w:szCs w:val="22"/>
        </w:rPr>
        <w:t>/</w:t>
      </w:r>
      <w:r>
        <w:rPr>
          <w:rFonts w:ascii="Courier New" w:hAnsi="Times New Roman" w:eastAsia="Times New Roman" w:cs="Times New Roman"/>
          <w:sz w:val="18"/>
          <w:szCs w:val="22"/>
        </w:rPr>
        <w:t>SEC-04</w:t>
      </w:r>
      <w:r>
        <w:rPr>
          <w:rFonts w:ascii="Times New Roman" w:hAnsi="Times New Roman" w:eastAsia="Times New Roman" w:cs="Times New Roman"/>
          <w:sz w:val="24"/>
          <w:szCs w:val="22"/>
        </w:rPr>
        <w:t>/</w:t>
      </w:r>
      <w:r>
        <w:rPr>
          <w:rFonts w:ascii="Courier New" w:hAnsi="Times New Roman" w:eastAsia="Times New Roman" w:cs="Times New Roman"/>
          <w:sz w:val="18"/>
          <w:szCs w:val="22"/>
        </w:rPr>
        <w:t>SEC-05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y diferencias </w:t>
      </w:r>
      <w:r>
        <w:rPr>
          <w:rFonts w:ascii="Courier New" w:hAnsi="Times New Roman" w:eastAsia="Times New Roman" w:cs="Times New Roman"/>
          <w:sz w:val="18"/>
          <w:szCs w:val="22"/>
        </w:rPr>
        <w:t>CFG-01</w:t>
      </w:r>
      <w:r>
        <w:rPr>
          <w:rFonts w:ascii="Times New Roman" w:hAnsi="Times New Roman" w:eastAsia="Times New Roman" w:cs="Times New Roman"/>
          <w:sz w:val="24"/>
          <w:szCs w:val="22"/>
        </w:rPr>
        <w:t>/</w:t>
      </w:r>
      <w:r>
        <w:rPr>
          <w:rFonts w:ascii="Courier New" w:hAnsi="Times New Roman" w:eastAsia="Times New Roman" w:cs="Times New Roman"/>
          <w:sz w:val="18"/>
          <w:szCs w:val="22"/>
        </w:rPr>
        <w:t>CFG-03</w:t>
      </w:r>
      <w:r>
        <w:rPr>
          <w:rFonts w:ascii="Times New Roman" w:hAnsi="Times New Roman" w:eastAsia="Times New Roman" w:cs="Times New Roman"/>
          <w:sz w:val="24"/>
          <w:szCs w:val="22"/>
        </w:rPr>
        <w:t>/</w:t>
      </w:r>
      <w:r>
        <w:rPr>
          <w:rFonts w:ascii="Courier New" w:hAnsi="Times New Roman" w:eastAsia="Times New Roman" w:cs="Times New Roman"/>
          <w:sz w:val="18"/>
          <w:szCs w:val="22"/>
        </w:rPr>
        <w:t>CFG-04</w:t>
      </w:r>
      <w:r>
        <w:rPr>
          <w:rFonts w:ascii="Courier New" w:hAnsi="Times New Roman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>se</w:t>
      </w:r>
    </w:p>
    <w:p w14:paraId="627FB384">
      <w:pPr>
        <w:pStyle w:val="BodyText"/>
        <w:spacing w:before="201" w:line="417" w:lineRule="auto"/>
        <w:ind w:right="854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consideran bloqueos o cautelas de despliegue. El equipo debe resolverlos o documentar una aceptación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formal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riesgo;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propone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producción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datos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reales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menores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esa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revisión.</w:t>
      </w:r>
    </w:p>
    <w:p w14:paraId="7DABDA84">
      <w:pPr>
        <w:pStyle w:val="BodyText"/>
        <w:spacing w:before="24"/>
        <w:jc w:val="left"/>
      </w:pPr>
    </w:p>
    <w:p w14:paraId="5FC85F8B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</w:p>
    <w:p w14:paraId="1E829852">
      <w:pPr>
        <w:pStyle w:val="BodyText"/>
        <w:spacing w:before="128"/>
        <w:jc w:val="left"/>
        <w:rPr>
          <w:b/>
        </w:rPr>
      </w:pPr>
    </w:p>
    <w:p w14:paraId="757AFC59">
      <w:pPr>
        <w:pStyle w:val="BodyText"/>
        <w:spacing w:line="417" w:lineRule="auto"/>
        <w:ind w:right="25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procedimiento ofrece un itinerario de despliegue documentado. Su reproducibilidad y seguridad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solo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podrán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confirmarse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ejecutar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instalación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entorno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limpio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registrar las verificaciones.</w:t>
      </w:r>
    </w:p>
    <w:p w14:paraId="29D9A37C">
      <w:pPr>
        <w:pStyle w:val="BodyText"/>
        <w:spacing w:before="23"/>
        <w:jc w:val="left"/>
      </w:pPr>
    </w:p>
    <w:p w14:paraId="634AF909">
      <w:pPr>
        <w:pStyle w:val="Heading1"/>
        <w:ind w:left="1965" w:right="2323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78A9179A">
      <w:pPr>
        <w:pStyle w:val="BodyText"/>
        <w:spacing w:before="128"/>
        <w:jc w:val="left"/>
        <w:rPr>
          <w:b/>
        </w:rPr>
      </w:pPr>
    </w:p>
    <w:p w14:paraId="20941830">
      <w:pPr>
        <w:spacing w:before="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4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2026].</w:t>
      </w:r>
    </w:p>
    <w:p w14:paraId="5A2B618D">
      <w:pPr>
        <w:spacing w:before="12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ISO/IEC/IEEE.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(2026).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Systems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engineering—Software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life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cycle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processes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(ISO/IEC/IEEE 12207:2026). International Organization for Standardization. </w:t>
      </w:r>
      <w:hyperlink r:id="rId9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https://www.iso.org/standard/90219.html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6718300</wp:posOffset>
          </wp:positionH>
          <wp:positionV relativeFrom="page">
            <wp:posOffset>354414</wp:posOffset>
          </wp:positionV>
          <wp:extent cx="2667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67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43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88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3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84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3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8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28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4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9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47"/>
      <w:ind w:left="224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4"/>
      <w:ind w:left="100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localhost:8081/" TargetMode="External"/><Relationship Id="rId7" Type="http://schemas.openxmlformats.org/officeDocument/2006/relationships/hyperlink" Target="http://localhost:8080/api/health" TargetMode="External"/><Relationship Id="rId8" Type="http://schemas.openxmlformats.org/officeDocument/2006/relationships/hyperlink" Target="http://localhost:8080/swagger-ui.html" TargetMode="External"/><Relationship Id="rId9" Type="http://schemas.openxmlformats.org/officeDocument/2006/relationships/hyperlink" Target="https://www.iso.org/standard/90219.html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Procedimiento de implementación del software</dc:title>
  <dcterms:created xsi:type="dcterms:W3CDTF">2026-10-09T18:56:40Z</dcterms:created>
  <dcterms:modified xsi:type="dcterms:W3CDTF">2026-10-09T19:39:27.984Z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