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Manual de instalación — local, Render y Android</w:t>
      </w:r>
    </w:p>
    <w:p>
      <w:pPr>
        <w:jc w:val="center"/>
      </w:pPr>
      <w:r>
        <w:t>Documentación técnica y académica · Revisión 2026-10-16</w:t>
      </w:r>
    </w:p>
    <w:p>
      <w:pPr>
        <w:jc w:val="center"/>
      </w:pPr>
      <w:r>
        <w:t>16 de octubre de 2026</w:t>
      </w:r>
    </w:p>
    <w:p>
      <w:pPr>
        <w:jc w:val="center"/>
      </w:pPr>
      <w:r>
        <w:t>Versión documental 2.0 | Estado: actualización con pendientes identificados</w:t>
      </w:r>
    </w:p>
    <w:p>
      <w:r>
        <w:br w:type="page"/>
      </w:r>
    </w:p>
    <w:p>
      <w:pPr>
        <w:pStyle w:val="Heading1"/>
      </w:pPr>
      <w:r>
        <w:t>Resumen</w:t>
      </w:r>
    </w:p>
    <w:p>
      <w:pPr>
        <w:ind w:firstLine="720"/>
      </w:pPr>
      <w:r>
        <w:t>Procedimiento de instalación para desarrolladores y operadores con configuraciones locales y web separadas.</w:t>
      </w:r>
    </w:p>
    <w:p>
      <w:pPr>
        <w:pStyle w:val="Heading1"/>
      </w:pPr>
      <w:r>
        <w:t>Contenido</w:t>
      </w:r>
    </w:p>
    <w:p>
      <w:pPr>
        <w:ind w:firstLine="720"/>
      </w:pPr>
      <w:r>
        <w:t>1. Requisitos</w:t>
      </w:r>
    </w:p>
    <w:p>
      <w:pPr>
        <w:ind w:firstLine="720"/>
      </w:pPr>
      <w:r>
        <w:t>2. Preparación local</w:t>
      </w:r>
    </w:p>
    <w:p>
      <w:pPr>
        <w:ind w:firstLine="720"/>
      </w:pPr>
      <w:r>
        <w:t>3. Instalación en Render</w:t>
      </w:r>
    </w:p>
    <w:p>
      <w:pPr>
        <w:ind w:firstLine="720"/>
      </w:pPr>
      <w:r>
        <w:t>4. Android y EAS Build</w:t>
      </w:r>
    </w:p>
    <w:p>
      <w:pPr>
        <w:ind w:firstLine="720"/>
      </w:pPr>
      <w:r>
        <w:t>5. Restauración y seguridad</w:t>
      </w:r>
    </w:p>
    <w:p>
      <w:pPr>
        <w:ind w:firstLine="720"/>
      </w:pPr>
      <w:r>
        <w:t>6. Referencias</w:t>
      </w:r>
    </w:p>
    <w:p>
      <w:r>
        <w:br w:type="page"/>
      </w:r>
    </w:p>
    <w:p>
      <w:pPr>
        <w:pStyle w:val="Heading1"/>
      </w:pPr>
      <w:r>
        <w:t>1. Requisitos</w:t>
      </w:r>
    </w:p>
    <w:p>
      <w:pPr>
        <w:ind w:firstLine="720"/>
      </w:pPr>
      <w:r>
        <w:t>Windows PowerShell o terminal equivalente, Docker Desktop y Docker Compose; Java 17 y Node 20 si se ejecutan procesos fuera de contenedores; acceso a cuatro repositorios. Credenciales privadas locales no adjuntas.</w:t>
      </w:r>
    </w:p>
    <w:p>
      <w:pPr>
        <w:pStyle w:val="Heading1"/>
      </w:pPr>
      <w:r>
        <w:t>2. Preparación local</w:t>
      </w:r>
    </w:p>
    <w:p>
      <w:pPr>
        <w:ind w:firstLine="720"/>
      </w:pPr>
      <w:r>
        <w:t>Clonar o descomprimir repositorios backend, frontend, DB-Structure e infra como carpetas hermanas. Revisar .env.example de cada componente, crear .env ignorado por Git y configurar PostgreSQL y JWT con valores propios. Ejecutar docker compose config para revisar sustitución de variables, docker compose up --build -d para servicios pertinentes. Verificar health y logs; respetar volúmenes existentes.</w:t>
      </w:r>
    </w:p>
    <w:p>
      <w:pPr>
        <w:pStyle w:val="Heading1"/>
      </w:pPr>
      <w:r>
        <w:t>3. Instalación en Render</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Crear DB PostgreSQL y conservar URL JDBC con SSL; ejecutar migraciones Liquibase antes del backend; configurar variables de producción en Render; backend Docker desde dev; frontend Docker desde develop; frontend exportado con ARG/ENV de EXPO_PUBLIC_* al ejecutar expo export. Validar /actuator/health y navegación.</w:t>
      </w:r>
    </w:p>
    <w:p>
      <w:pPr>
        <w:pStyle w:val="Heading1"/>
      </w:pPr>
      <w:r>
        <w:t>4. Android y EAS Build</w:t>
      </w:r>
    </w:p>
    <w:p>
      <w:pPr>
        <w:ind w:firstLine="720"/>
      </w:pPr>
      <w:r>
        <w:t>Revisar app.config.js, eas.json y nombre de paquete. Configurar credenciales de firma y una clave Maps SDK for Android propia. EAS development/preview puede generar build instalable; las funciones GPS de segundo plano requieren pruebas reales, no solo Expo Go.</w:t>
      </w:r>
    </w:p>
    <w:p>
      <w:pPr>
        <w:pStyle w:val="Heading1"/>
      </w:pPr>
      <w:r>
        <w:t>5. Restauración y seguridad</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