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Procedimiento de implementación — Render y Docker</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Runbook para actualización segura de base de datos, backend y frontend en Render, conservando un entorno Docker local independiente.</w:t>
      </w:r>
    </w:p>
    <w:p>
      <w:pPr>
        <w:pStyle w:val="Heading1"/>
      </w:pPr>
      <w:r>
        <w:t>Contenido</w:t>
      </w:r>
    </w:p>
    <w:p>
      <w:pPr>
        <w:ind w:firstLine="720"/>
      </w:pPr>
      <w:r>
        <w:t>1. Alcance y prerrequisitos</w:t>
      </w:r>
    </w:p>
    <w:p>
      <w:pPr>
        <w:ind w:firstLine="720"/>
      </w:pPr>
      <w:r>
        <w:t>2. Secuencia de implementación</w:t>
      </w:r>
    </w:p>
    <w:p>
      <w:pPr>
        <w:ind w:firstLine="720"/>
      </w:pPr>
      <w:r>
        <w:t>3. Variables y seguridad</w:t>
      </w:r>
    </w:p>
    <w:p>
      <w:pPr>
        <w:ind w:firstLine="720"/>
      </w:pPr>
      <w:r>
        <w:t>4. Verificación y contingencia</w:t>
      </w:r>
    </w:p>
    <w:p>
      <w:pPr>
        <w:ind w:firstLine="720"/>
      </w:pPr>
      <w:r>
        <w:t>5. Mantenimiento</w:t>
      </w:r>
    </w:p>
    <w:p>
      <w:pPr>
        <w:ind w:firstLine="720"/>
      </w:pPr>
      <w:r>
        <w:t>6. Referencias</w:t>
      </w:r>
    </w:p>
    <w:p>
      <w:r>
        <w:br w:type="page"/>
      </w:r>
    </w:p>
    <w:p>
      <w:pPr>
        <w:pStyle w:val="Heading1"/>
      </w:pPr>
      <w:r>
        <w:t>1. Alcance y prerrequisitos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Verificar permisos mínimos de Render y GitHub, accesos a bases de datos, variables y límites del plan. Respaldar datos antes de migrar. No almacenar secretos en repositorios.</w:t>
      </w:r>
    </w:p>
    <w:p>
      <w:pPr>
        <w:pStyle w:val="Heading1"/>
      </w:pPr>
      <w:r>
        <w:t>2. Secuencia de implementación</w:t>
      </w:r>
    </w:p>
    <w:p>
      <w:pPr>
        <w:ind w:firstLine="720"/>
      </w:pPr>
      <w:r>
        <w:t>1. Identificar rama y commit fuente; 2. generar respaldo lógico de PostgreSQL; 3. comprobar variables Render; 4. ejecutar Liquibase validate y update contra la DB de destino; 5. publicar backend dev; 6. revisar logs Spring Boot y /actuator/health; 7. compilar frontend develop con EXPO_PUBLIC_* en build; 8. verificar Nginx /api y /ws; 9. ejecutar smoke tests; 10. documentar evidencias y rollback.</w:t>
      </w:r>
    </w:p>
    <w:p>
      <w:pPr>
        <w:ind w:firstLine="720"/>
      </w:pPr>
      <w:r>
        <w:t>La cadena de migraciones local usa changelog/changelog-master.yaml y SQL de carpetas 01_ddl, 02_dml, 03_dcl según Docker Compose aportado. No ejecutar migraciones de desarrollo indiscriminadamente sobre producción.</w:t>
      </w:r>
    </w:p>
    <w:p>
      <w:pPr>
        <w:pStyle w:val="Heading1"/>
      </w:pPr>
      <w:r>
        <w:t>3. Variables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Backend: DB_URL, DB_USERNAME, DB_PASSWORD, JWT_SECRET, SPRING_PROFILES_ACTIVE=prod, MAIL_PROVIDER=brevo, BREVO_API_KEY, GOOGLE_MAPS_API_KEY, FRONTEND_BASE_URL, CORS_ALLOWED_ORIGINS. Frontend Docker: EXPO_PUBLIC_API_URL=/api, EXPO_PUBLIC_WS_URL=/ws, EXPO_PUBLIC_WEB_PROXY=true, EXPO_PUBLIC_GOOGLE_MAPS_API_KEY y API_UPSTREAM. Los valores no se incorporan a este documento.</w:t>
      </w:r>
    </w:p>
    <w:p>
      <w:pPr>
        <w:pStyle w:val="Heading1"/>
      </w:pPr>
      <w:r>
        <w:t>4. Verificación y contingencia</w:t>
      </w:r>
    </w:p>
    <w:p>
      <w:pPr>
        <w:ind w:firstLine="720"/>
      </w:pPr>
      <w:r>
        <w:t>Un 503 durante cold start no equivale necesariamente a falla persistente. Revisar disponibilidad real antes de autenticar. Reversión del frontend/backend al commit e imagen anterior; reversión de esquema solo con backup y estrategia aprobada. Suspender los servicios web si se detecta riesgo de seguridad, preservando respaldo de la DB.</w:t>
      </w:r>
    </w:p>
    <w:p>
      <w:pPr>
        <w:pStyle w:val="Heading1"/>
      </w:pPr>
      <w:r>
        <w:t>5. Mantenimiento</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